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MANHARD KIMBERLY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360"/>
        <w:spacing w:after="0" w:line="357" w:lineRule="auto"/>
        <w:rPr>
          <w:sz w:val="20"/>
          <w:szCs w:val="20"/>
          <w:color w:val="auto"/>
        </w:rPr>
      </w:pPr>
      <w:r>
        <w:rPr>
          <w:rFonts w:ascii="Arial" w:cs="Arial" w:eastAsia="Arial" w:hAnsi="Arial"/>
          <w:sz w:val="17"/>
          <w:szCs w:val="17"/>
          <w:color w:val="0000FF"/>
        </w:rPr>
        <w:t>4242 CAMPUS POINT COURT SUITE 200</w:t>
      </w: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SAN DIEGO</w:t>
            </w:r>
          </w:p>
        </w:tc>
        <w:tc>
          <w:tcPr>
            <w:tcW w:w="960" w:type="dxa"/>
            <w:vAlign w:val="bottom"/>
          </w:tcPr>
          <w:p>
            <w:pPr>
              <w:ind w:left="14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92121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2"/>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HERON THERAPEUTICS, INC. /DE/ </w:t>
              </w:r>
            </w:hyperlink>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3740" w:type="dxa"/>
            <w:vAlign w:val="bottom"/>
            <w:gridSpan w:val="2"/>
          </w:tcPr>
          <w:p>
            <w:pPr>
              <w:spacing w:after="0"/>
              <w:rPr>
                <w:sz w:val="3"/>
                <w:szCs w:val="3"/>
                <w:color w:val="auto"/>
              </w:rPr>
            </w:pPr>
          </w:p>
        </w:tc>
        <w:tc>
          <w:tcPr>
            <w:tcW w:w="500" w:type="dxa"/>
            <w:vAlign w:val="bottom"/>
            <w:vMerge w:val="restart"/>
          </w:tcPr>
          <w:p>
            <w:pPr>
              <w:ind w:left="280"/>
              <w:spacing w:after="0" w:line="54" w:lineRule="exact"/>
              <w:rPr>
                <w:sz w:val="20"/>
                <w:szCs w:val="20"/>
                <w:color w:val="auto"/>
              </w:rPr>
            </w:pPr>
            <w:r>
              <w:rPr>
                <w:rFonts w:ascii="Arial" w:cs="Arial" w:eastAsia="Arial" w:hAnsi="Arial"/>
                <w:sz w:val="6"/>
                <w:szCs w:val="6"/>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340" w:type="dxa"/>
            <w:vAlign w:val="bottom"/>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HRTX </w:t>
              </w:r>
              <w:r>
                <w:rPr>
                  <w:rFonts w:ascii="Arial" w:cs="Arial" w:eastAsia="Arial" w:hAnsi="Arial"/>
                  <w:sz w:val="1"/>
                  <w:szCs w:val="1"/>
                  <w:color w:val="000000"/>
                </w:rPr>
                <w:t>]</w:t>
              </w:r>
            </w:hyperlink>
          </w:p>
        </w:tc>
        <w:tc>
          <w:tcPr>
            <w:tcW w:w="40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4"/>
        </w:trPr>
        <w:tc>
          <w:tcPr>
            <w:tcW w:w="80" w:type="dxa"/>
            <w:vAlign w:val="bottom"/>
            <w:tcBorders>
              <w:bottom w:val="single" w:sz="8" w:color="2C2C2C"/>
            </w:tcBorders>
          </w:tcPr>
          <w:p>
            <w:pPr>
              <w:spacing w:after="0"/>
              <w:rPr>
                <w:sz w:val="9"/>
                <w:szCs w:val="9"/>
                <w:color w:val="auto"/>
              </w:rPr>
            </w:pPr>
          </w:p>
        </w:tc>
        <w:tc>
          <w:tcPr>
            <w:tcW w:w="33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500" w:type="dxa"/>
            <w:vAlign w:val="bottom"/>
            <w:vMerge w:val="continue"/>
          </w:tcPr>
          <w:p>
            <w:pPr>
              <w:spacing w:after="0"/>
              <w:rPr>
                <w:sz w:val="9"/>
                <w:szCs w:val="9"/>
                <w:color w:val="auto"/>
              </w:rPr>
            </w:pPr>
          </w:p>
        </w:tc>
        <w:tc>
          <w:tcPr>
            <w:tcW w:w="1360" w:type="dxa"/>
            <w:vAlign w:val="bottom"/>
          </w:tcPr>
          <w:p>
            <w:pPr>
              <w:ind w:left="100"/>
              <w:spacing w:after="0" w:line="101" w:lineRule="exact"/>
              <w:rPr>
                <w:sz w:val="20"/>
                <w:szCs w:val="20"/>
                <w:color w:val="auto"/>
              </w:rPr>
            </w:pPr>
            <w:r>
              <w:rPr>
                <w:rFonts w:ascii="Arial" w:cs="Arial" w:eastAsia="Arial" w:hAnsi="Arial"/>
                <w:sz w:val="11"/>
                <w:szCs w:val="11"/>
                <w:color w:val="auto"/>
              </w:rPr>
              <w:t>below)</w:t>
            </w:r>
          </w:p>
        </w:tc>
        <w:tc>
          <w:tcPr>
            <w:tcW w:w="1440" w:type="dxa"/>
            <w:vAlign w:val="bottom"/>
          </w:tcPr>
          <w:p>
            <w:pPr>
              <w:ind w:left="300"/>
              <w:spacing w:after="0" w:line="101"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9"/>
                <w:szCs w:val="19"/>
                <w:color w:val="auto"/>
              </w:rPr>
            </w:pPr>
          </w:p>
        </w:tc>
        <w:tc>
          <w:tcPr>
            <w:tcW w:w="2800" w:type="dxa"/>
            <w:vAlign w:val="bottom"/>
            <w:gridSpan w:val="2"/>
          </w:tcPr>
          <w:p>
            <w:pPr>
              <w:ind w:left="300"/>
              <w:spacing w:after="0"/>
              <w:rPr>
                <w:sz w:val="20"/>
                <w:szCs w:val="20"/>
                <w:color w:val="auto"/>
              </w:rPr>
            </w:pPr>
            <w:r>
              <w:rPr>
                <w:rFonts w:ascii="Arial" w:cs="Arial" w:eastAsia="Arial" w:hAnsi="Arial"/>
                <w:sz w:val="17"/>
                <w:szCs w:val="17"/>
                <w:color w:val="0000FF"/>
              </w:rPr>
              <w:t>EVP, Drug Development</w:t>
            </w:r>
          </w:p>
        </w:tc>
        <w:tc>
          <w:tcPr>
            <w:tcW w:w="0" w:type="dxa"/>
            <w:vAlign w:val="bottom"/>
          </w:tcPr>
          <w:p>
            <w:pPr>
              <w:spacing w:after="0"/>
              <w:rPr>
                <w:sz w:val="1"/>
                <w:szCs w:val="1"/>
                <w:color w:val="auto"/>
              </w:rPr>
            </w:pPr>
          </w:p>
        </w:tc>
      </w:tr>
      <w:tr>
        <w:trPr>
          <w:trHeight w:val="220"/>
        </w:trPr>
        <w:tc>
          <w:tcPr>
            <w:tcW w:w="3420" w:type="dxa"/>
            <w:vAlign w:val="bottom"/>
            <w:gridSpan w:val="2"/>
          </w:tcPr>
          <w:p>
            <w:pPr>
              <w:ind w:left="80"/>
              <w:spacing w:after="0"/>
              <w:rPr>
                <w:sz w:val="20"/>
                <w:szCs w:val="20"/>
                <w:color w:val="auto"/>
              </w:rPr>
            </w:pPr>
            <w:r>
              <w:rPr>
                <w:rFonts w:ascii="Arial" w:cs="Arial" w:eastAsia="Arial" w:hAnsi="Arial"/>
                <w:sz w:val="17"/>
                <w:szCs w:val="17"/>
                <w:color w:val="0000FF"/>
              </w:rPr>
              <w:t>05/03/2021</w:t>
            </w: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80" w:type="dxa"/>
            <w:vAlign w:val="bottom"/>
            <w:tcBorders>
              <w:bottom w:val="single" w:sz="8" w:color="2C2C2C"/>
            </w:tcBorders>
          </w:tcPr>
          <w:p>
            <w:pPr>
              <w:spacing w:after="0"/>
              <w:rPr>
                <w:sz w:val="13"/>
                <w:szCs w:val="13"/>
                <w:color w:val="auto"/>
              </w:rPr>
            </w:pPr>
          </w:p>
        </w:tc>
        <w:tc>
          <w:tcPr>
            <w:tcW w:w="33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330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65" w:lineRule="exact"/>
        <w:rPr>
          <w:sz w:val="20"/>
          <w:szCs w:val="20"/>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46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2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w:t>
            </w:r>
          </w:p>
        </w:tc>
        <w:tc>
          <w:tcPr>
            <w:tcW w:w="28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16"/>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04/30/2021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2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28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V</w:t>
            </w:r>
          </w:p>
        </w:tc>
        <w:tc>
          <w:tcPr>
            <w:tcW w:w="840" w:type="dxa"/>
            <w:vAlign w:val="bottom"/>
            <w:tcBorders>
              <w:bottom w:val="single" w:sz="8" w:color="2C2C2C"/>
            </w:tcBorders>
          </w:tcPr>
          <w:p>
            <w:pPr>
              <w:jc w:val="right"/>
              <w:ind w:right="171"/>
              <w:spacing w:after="0"/>
              <w:rPr>
                <w:sz w:val="20"/>
                <w:szCs w:val="20"/>
                <w:color w:val="auto"/>
              </w:rPr>
            </w:pPr>
            <w:r>
              <w:rPr>
                <w:rFonts w:ascii="Arial" w:cs="Arial" w:eastAsia="Arial" w:hAnsi="Arial"/>
                <w:sz w:val="17"/>
                <w:szCs w:val="17"/>
                <w:color w:val="0000FF"/>
              </w:rPr>
              <w:t>1,529</w:t>
            </w: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92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13.8975</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3,163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05/03/2021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right"/>
              <w:ind w:right="171"/>
              <w:spacing w:after="0"/>
              <w:rPr>
                <w:sz w:val="20"/>
                <w:szCs w:val="20"/>
                <w:color w:val="auto"/>
              </w:rPr>
            </w:pPr>
            <w:r>
              <w:rPr>
                <w:rFonts w:ascii="Arial" w:cs="Arial" w:eastAsia="Arial" w:hAnsi="Arial"/>
                <w:sz w:val="17"/>
                <w:szCs w:val="17"/>
                <w:color w:val="0000FF"/>
              </w:rPr>
              <w:t>1,529</w:t>
            </w: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17.6643</w:t>
            </w:r>
            <w:r>
              <w:rPr>
                <w:rFonts w:ascii="Arial" w:cs="Arial" w:eastAsia="Arial" w:hAnsi="Arial"/>
                <w:sz w:val="22"/>
                <w:szCs w:val="22"/>
                <w:color w:val="008000"/>
                <w:w w:val="92"/>
                <w:vertAlign w:val="superscript"/>
              </w:rPr>
              <w:t>(3)</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1,634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Date</w:t>
            </w:r>
          </w:p>
        </w:tc>
        <w:tc>
          <w:tcPr>
            <w:tcW w:w="280" w:type="dxa"/>
            <w:vAlign w:val="bottom"/>
          </w:tcPr>
          <w:p>
            <w:pPr>
              <w:spacing w:after="0"/>
              <w:rPr>
                <w:sz w:val="11"/>
                <w:szCs w:val="11"/>
                <w:color w:val="auto"/>
              </w:rPr>
            </w:pP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3"/>
                <w:szCs w:val="13"/>
                <w:color w:val="auto"/>
              </w:rPr>
            </w:pPr>
          </w:p>
        </w:tc>
        <w:tc>
          <w:tcPr>
            <w:tcW w:w="1520" w:type="dxa"/>
            <w:vAlign w:val="bottom"/>
            <w:gridSpan w:val="3"/>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acquired under the Heron Therapeutics, Inc. 1997 Employee Stock Purchase Plan on April 30, 2021.</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of common stock reported in this Form 4 was effected pursuant to a Rule 10b5-1 plan dated as of September 15, 2020.</w:t>
      </w:r>
    </w:p>
    <w:p>
      <w:pPr>
        <w:spacing w:after="0" w:line="50" w:lineRule="exact"/>
        <w:rPr>
          <w:rFonts w:ascii="Arial" w:cs="Arial" w:eastAsia="Arial" w:hAnsi="Arial"/>
          <w:sz w:val="13"/>
          <w:szCs w:val="13"/>
          <w:color w:val="008000"/>
        </w:rPr>
      </w:pPr>
    </w:p>
    <w:p>
      <w:pPr>
        <w:ind w:left="40" w:right="2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range of sales prices received was $17.46 to $17.84. Upon request by the SEC staff, the issuer, or any security holder of the issuer, full information will be provided regarding the number of shares purchased or sold at each separate price.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Lisa Peraza Attorney-in-</w:t>
            </w:r>
          </w:p>
        </w:tc>
        <w:tc>
          <w:tcPr>
            <w:tcW w:w="1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05/04/2021</w:t>
            </w:r>
          </w:p>
        </w:tc>
        <w:tc>
          <w:tcPr>
            <w:tcW w:w="0" w:type="dxa"/>
            <w:vAlign w:val="bottom"/>
          </w:tcPr>
          <w:p>
            <w:pPr>
              <w:spacing w:after="0"/>
              <w:rPr>
                <w:sz w:val="1"/>
                <w:szCs w:val="1"/>
                <w:color w:val="auto"/>
              </w:rPr>
            </w:pPr>
          </w:p>
        </w:tc>
      </w:tr>
      <w:tr>
        <w:trPr>
          <w:trHeight w:val="87"/>
        </w:trPr>
        <w:tc>
          <w:tcPr>
            <w:tcW w:w="1900" w:type="dxa"/>
            <w:vAlign w:val="bottom"/>
            <w:vMerge w:val="restart"/>
          </w:tcPr>
          <w:p>
            <w:pPr>
              <w:spacing w:after="0" w:line="194" w:lineRule="exact"/>
              <w:rPr>
                <w:sz w:val="20"/>
                <w:szCs w:val="20"/>
                <w:color w:val="auto"/>
              </w:rPr>
            </w:pPr>
            <w:r>
              <w:rPr>
                <w:rFonts w:ascii="Arial" w:cs="Arial" w:eastAsia="Arial" w:hAnsi="Arial"/>
                <w:sz w:val="17"/>
                <w:szCs w:val="17"/>
                <w:color w:val="0000FF"/>
                <w:w w:val="96"/>
              </w:rPr>
              <w:t>fact for Kimberly Manhard</w:t>
            </w:r>
          </w:p>
        </w:tc>
        <w:tc>
          <w:tcPr>
            <w:tcW w:w="1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900" w:type="dxa"/>
            <w:vAlign w:val="bottom"/>
            <w:tcBorders>
              <w:bottom w:val="single" w:sz="8" w:color="auto"/>
            </w:tcBorders>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02094" TargetMode="External"/><Relationship Id="rId13" Type="http://schemas.openxmlformats.org/officeDocument/2006/relationships/hyperlink" Target="http://www.sec.gov/cgi-bin/browse-edgar?action=getcompany&amp;CIK=00008180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2021-05-04T17:04:18Z</dcterms:created>
  <dcterms:modified xsi:type="dcterms:W3CDTF">2021-05-04T17:04:18Z</dcterms:modified>
</cp:coreProperties>
</file>