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filed with the Securities and Exchange Commission on May 28, 2021</w:t>
      </w:r>
    </w:p>
    <w:p>
      <w:pPr>
        <w:spacing w:after="0" w:line="4" w:lineRule="exact"/>
        <w:rPr>
          <w:sz w:val="24"/>
          <w:szCs w:val="24"/>
          <w:color w:val="auto"/>
        </w:rPr>
      </w:pPr>
    </w:p>
    <w:p>
      <w:pPr>
        <w:ind w:left="92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7"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S-3</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REGISTRATION STATEMENT</w:t>
      </w: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Heron Therapeutics, Inc.</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2" w:lineRule="exact"/>
        <w:rPr>
          <w:sz w:val="24"/>
          <w:szCs w:val="24"/>
          <w:color w:val="auto"/>
        </w:rPr>
      </w:pPr>
    </w:p>
    <w:tbl>
      <w:tblPr>
        <w:tblLayout w:type="fixed"/>
        <w:tblInd w:w="1960" w:type="dxa"/>
        <w:tblCellMar>
          <w:top w:w="0" w:type="dxa"/>
          <w:left w:w="0" w:type="dxa"/>
          <w:bottom w:w="0" w:type="dxa"/>
          <w:right w:w="0" w:type="dxa"/>
        </w:tblCellMar>
      </w:tblPr>
      <w:tr>
        <w:trPr>
          <w:trHeight w:val="161"/>
        </w:trPr>
        <w:tc>
          <w:tcPr>
            <w:tcW w:w="3840" w:type="dxa"/>
            <w:vAlign w:val="bottom"/>
          </w:tcPr>
          <w:p>
            <w:pPr>
              <w:jc w:val="center"/>
              <w:ind w:right="1908"/>
              <w:spacing w:after="0"/>
              <w:rPr>
                <w:sz w:val="20"/>
                <w:szCs w:val="20"/>
                <w:color w:val="auto"/>
              </w:rPr>
            </w:pPr>
            <w:r>
              <w:rPr>
                <w:rFonts w:ascii="Arial" w:cs="Arial" w:eastAsia="Arial" w:hAnsi="Arial"/>
                <w:sz w:val="14"/>
                <w:szCs w:val="14"/>
                <w:b w:val="1"/>
                <w:bCs w:val="1"/>
                <w:color w:val="auto"/>
                <w:w w:val="94"/>
              </w:rPr>
              <w:t>Delaware</w:t>
            </w:r>
          </w:p>
        </w:tc>
        <w:tc>
          <w:tcPr>
            <w:tcW w:w="3380" w:type="dxa"/>
            <w:vAlign w:val="bottom"/>
          </w:tcPr>
          <w:p>
            <w:pPr>
              <w:jc w:val="center"/>
              <w:ind w:left="1868"/>
              <w:spacing w:after="0"/>
              <w:rPr>
                <w:sz w:val="20"/>
                <w:szCs w:val="20"/>
                <w:color w:val="auto"/>
              </w:rPr>
            </w:pPr>
            <w:r>
              <w:rPr>
                <w:rFonts w:ascii="Arial" w:cs="Arial" w:eastAsia="Arial" w:hAnsi="Arial"/>
                <w:sz w:val="14"/>
                <w:szCs w:val="14"/>
                <w:b w:val="1"/>
                <w:bCs w:val="1"/>
                <w:color w:val="auto"/>
                <w:w w:val="90"/>
              </w:rPr>
              <w:t>94-2875566</w:t>
            </w:r>
          </w:p>
        </w:tc>
      </w:tr>
      <w:tr>
        <w:trPr>
          <w:trHeight w:val="148"/>
        </w:trPr>
        <w:tc>
          <w:tcPr>
            <w:tcW w:w="3840" w:type="dxa"/>
            <w:vAlign w:val="bottom"/>
          </w:tcPr>
          <w:p>
            <w:pPr>
              <w:jc w:val="center"/>
              <w:ind w:right="188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8"/>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8"/>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4242 Campus Point Court, Suite 200</w:t>
      </w:r>
    </w:p>
    <w:p>
      <w:pPr>
        <w:jc w:val="center"/>
        <w:ind w:right="-119"/>
        <w:spacing w:after="0" w:line="226" w:lineRule="auto"/>
        <w:rPr>
          <w:sz w:val="20"/>
          <w:szCs w:val="20"/>
          <w:color w:val="auto"/>
        </w:rPr>
      </w:pPr>
      <w:r>
        <w:rPr>
          <w:rFonts w:ascii="Arial" w:cs="Arial" w:eastAsia="Arial" w:hAnsi="Arial"/>
          <w:sz w:val="14"/>
          <w:szCs w:val="14"/>
          <w:b w:val="1"/>
          <w:bCs w:val="1"/>
          <w:color w:val="auto"/>
        </w:rPr>
        <w:t>San Diego, California 92121</w:t>
      </w:r>
    </w:p>
    <w:p>
      <w:pPr>
        <w:jc w:val="center"/>
        <w:ind w:right="-119"/>
        <w:spacing w:after="0" w:line="221" w:lineRule="auto"/>
        <w:rPr>
          <w:sz w:val="20"/>
          <w:szCs w:val="20"/>
          <w:color w:val="auto"/>
        </w:rPr>
      </w:pPr>
      <w:r>
        <w:rPr>
          <w:rFonts w:ascii="Arial" w:cs="Arial" w:eastAsia="Arial" w:hAnsi="Arial"/>
          <w:sz w:val="14"/>
          <w:szCs w:val="14"/>
          <w:b w:val="1"/>
          <w:bCs w:val="1"/>
          <w:color w:val="auto"/>
        </w:rPr>
        <w:t>(858) 251-4400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David Szekeres</w:t>
      </w:r>
    </w:p>
    <w:p>
      <w:pPr>
        <w:jc w:val="center"/>
        <w:ind w:right="-119"/>
        <w:spacing w:after="0" w:line="226" w:lineRule="auto"/>
        <w:rPr>
          <w:sz w:val="20"/>
          <w:szCs w:val="20"/>
          <w:color w:val="auto"/>
        </w:rPr>
      </w:pPr>
      <w:r>
        <w:rPr>
          <w:rFonts w:ascii="Arial" w:cs="Arial" w:eastAsia="Arial" w:hAnsi="Arial"/>
          <w:sz w:val="14"/>
          <w:szCs w:val="14"/>
          <w:b w:val="1"/>
          <w:bCs w:val="1"/>
          <w:color w:val="auto"/>
        </w:rPr>
        <w:t>Executive Vice President, Chief Operating Officer</w:t>
      </w:r>
    </w:p>
    <w:p>
      <w:pPr>
        <w:jc w:val="center"/>
        <w:ind w:right="-119"/>
        <w:spacing w:after="0" w:line="221" w:lineRule="auto"/>
        <w:rPr>
          <w:sz w:val="20"/>
          <w:szCs w:val="20"/>
          <w:color w:val="auto"/>
        </w:rPr>
      </w:pPr>
      <w:r>
        <w:rPr>
          <w:rFonts w:ascii="Arial" w:cs="Arial" w:eastAsia="Arial" w:hAnsi="Arial"/>
          <w:sz w:val="14"/>
          <w:szCs w:val="14"/>
          <w:b w:val="1"/>
          <w:bCs w:val="1"/>
          <w:color w:val="auto"/>
        </w:rPr>
        <w:t>Heron Therapeutics, Inc.</w:t>
      </w:r>
    </w:p>
    <w:p>
      <w:pPr>
        <w:jc w:val="center"/>
        <w:ind w:right="-119"/>
        <w:spacing w:after="0" w:line="222" w:lineRule="auto"/>
        <w:rPr>
          <w:sz w:val="20"/>
          <w:szCs w:val="20"/>
          <w:color w:val="auto"/>
        </w:rPr>
      </w:pPr>
      <w:r>
        <w:rPr>
          <w:rFonts w:ascii="Arial" w:cs="Arial" w:eastAsia="Arial" w:hAnsi="Arial"/>
          <w:sz w:val="14"/>
          <w:szCs w:val="14"/>
          <w:b w:val="1"/>
          <w:bCs w:val="1"/>
          <w:color w:val="auto"/>
        </w:rPr>
        <w:t>4242 Campus Point Court, Suite 200</w:t>
      </w:r>
    </w:p>
    <w:p>
      <w:pPr>
        <w:jc w:val="center"/>
        <w:ind w:right="-119"/>
        <w:spacing w:after="0" w:line="221" w:lineRule="auto"/>
        <w:rPr>
          <w:sz w:val="20"/>
          <w:szCs w:val="20"/>
          <w:color w:val="auto"/>
        </w:rPr>
      </w:pPr>
      <w:r>
        <w:rPr>
          <w:rFonts w:ascii="Arial" w:cs="Arial" w:eastAsia="Arial" w:hAnsi="Arial"/>
          <w:sz w:val="14"/>
          <w:szCs w:val="14"/>
          <w:b w:val="1"/>
          <w:bCs w:val="1"/>
          <w:color w:val="auto"/>
        </w:rPr>
        <w:t>San Diego, California 92121</w:t>
      </w:r>
    </w:p>
    <w:p>
      <w:pPr>
        <w:jc w:val="center"/>
        <w:ind w:right="-119"/>
        <w:spacing w:after="0" w:line="222" w:lineRule="auto"/>
        <w:rPr>
          <w:sz w:val="20"/>
          <w:szCs w:val="20"/>
          <w:color w:val="auto"/>
        </w:rPr>
      </w:pPr>
      <w:r>
        <w:rPr>
          <w:rFonts w:ascii="Arial" w:cs="Arial" w:eastAsia="Arial" w:hAnsi="Arial"/>
          <w:sz w:val="14"/>
          <w:szCs w:val="14"/>
          <w:b w:val="1"/>
          <w:bCs w:val="1"/>
          <w:color w:val="auto"/>
        </w:rPr>
        <w:t>(858) 251-4447</w:t>
      </w: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i w:val="1"/>
          <w:iCs w:val="1"/>
          <w:color w:val="auto"/>
        </w:rPr>
        <w:t>Copy to:</w:t>
      </w:r>
    </w:p>
    <w:p>
      <w:pPr>
        <w:spacing w:after="0" w:line="2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Ryan A. Murr</w:t>
      </w:r>
    </w:p>
    <w:p>
      <w:pPr>
        <w:jc w:val="center"/>
        <w:ind w:right="-119"/>
        <w:spacing w:after="0" w:line="226" w:lineRule="auto"/>
        <w:rPr>
          <w:sz w:val="20"/>
          <w:szCs w:val="20"/>
          <w:color w:val="auto"/>
        </w:rPr>
      </w:pPr>
      <w:r>
        <w:rPr>
          <w:rFonts w:ascii="Arial" w:cs="Arial" w:eastAsia="Arial" w:hAnsi="Arial"/>
          <w:sz w:val="14"/>
          <w:szCs w:val="14"/>
          <w:b w:val="1"/>
          <w:bCs w:val="1"/>
          <w:color w:val="auto"/>
        </w:rPr>
        <w:t>Branden C. Berns</w:t>
      </w:r>
    </w:p>
    <w:p>
      <w:pPr>
        <w:jc w:val="center"/>
        <w:ind w:right="-119"/>
        <w:spacing w:after="0" w:line="221" w:lineRule="auto"/>
        <w:rPr>
          <w:sz w:val="20"/>
          <w:szCs w:val="20"/>
          <w:color w:val="auto"/>
        </w:rPr>
      </w:pPr>
      <w:r>
        <w:rPr>
          <w:rFonts w:ascii="Arial" w:cs="Arial" w:eastAsia="Arial" w:hAnsi="Arial"/>
          <w:sz w:val="14"/>
          <w:szCs w:val="14"/>
          <w:b w:val="1"/>
          <w:bCs w:val="1"/>
          <w:color w:val="auto"/>
        </w:rPr>
        <w:t>Gibson, Dunn &amp; Crutcher LLP</w:t>
      </w:r>
    </w:p>
    <w:p>
      <w:pPr>
        <w:jc w:val="center"/>
        <w:ind w:right="-119"/>
        <w:spacing w:after="0" w:line="222" w:lineRule="auto"/>
        <w:rPr>
          <w:sz w:val="20"/>
          <w:szCs w:val="20"/>
          <w:color w:val="auto"/>
        </w:rPr>
      </w:pPr>
      <w:r>
        <w:rPr>
          <w:rFonts w:ascii="Arial" w:cs="Arial" w:eastAsia="Arial" w:hAnsi="Arial"/>
          <w:sz w:val="14"/>
          <w:szCs w:val="14"/>
          <w:b w:val="1"/>
          <w:bCs w:val="1"/>
          <w:color w:val="auto"/>
        </w:rPr>
        <w:t>555 Mission Street, Suite 3000</w:t>
      </w:r>
    </w:p>
    <w:p>
      <w:pPr>
        <w:jc w:val="center"/>
        <w:ind w:right="-119"/>
        <w:spacing w:after="0" w:line="221" w:lineRule="auto"/>
        <w:rPr>
          <w:sz w:val="20"/>
          <w:szCs w:val="20"/>
          <w:color w:val="auto"/>
        </w:rPr>
      </w:pPr>
      <w:r>
        <w:rPr>
          <w:rFonts w:ascii="Arial" w:cs="Arial" w:eastAsia="Arial" w:hAnsi="Arial"/>
          <w:sz w:val="14"/>
          <w:szCs w:val="14"/>
          <w:b w:val="1"/>
          <w:bCs w:val="1"/>
          <w:color w:val="auto"/>
        </w:rPr>
        <w:t>San Francisco, California 94105</w:t>
      </w:r>
    </w:p>
    <w:p>
      <w:pPr>
        <w:jc w:val="center"/>
        <w:ind w:right="-119"/>
        <w:spacing w:after="0"/>
        <w:rPr>
          <w:sz w:val="20"/>
          <w:szCs w:val="20"/>
          <w:color w:val="auto"/>
        </w:rPr>
      </w:pPr>
      <w:r>
        <w:rPr>
          <w:rFonts w:ascii="Arial" w:cs="Arial" w:eastAsia="Arial" w:hAnsi="Arial"/>
          <w:sz w:val="14"/>
          <w:szCs w:val="14"/>
          <w:b w:val="1"/>
          <w:bCs w:val="1"/>
          <w:color w:val="auto"/>
        </w:rPr>
        <w:t>(415) 393-8200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4" w:lineRule="exact"/>
        <w:rPr>
          <w:sz w:val="24"/>
          <w:szCs w:val="24"/>
          <w:color w:val="auto"/>
        </w:rPr>
      </w:pPr>
    </w:p>
    <w:p>
      <w:pPr>
        <w:ind w:left="560" w:right="320"/>
        <w:spacing w:after="0" w:line="202" w:lineRule="exact"/>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From time to time after the effective date of the Registration Statement as the registrant shall determine.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120" w:right="300" w:firstLine="44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6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20" w:firstLine="440"/>
        <w:spacing w:after="0" w:line="176"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18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ectPr>
          <w:pgSz w:w="11900" w:h="16838" w:orient="portrait"/>
          <w:cols w:equalWidth="0" w:num="1">
            <w:col w:w="11140"/>
          </w:cols>
          <w:pgMar w:left="320" w:top="230" w:right="439" w:bottom="1440" w:gutter="0" w:footer="0" w:header="0"/>
        </w:sectPr>
      </w:pPr>
    </w:p>
    <w:p>
      <w:pPr>
        <w:spacing w:after="0" w:line="5" w:lineRule="exact"/>
        <w:rPr>
          <w:sz w:val="24"/>
          <w:szCs w:val="24"/>
          <w:color w:val="auto"/>
        </w:rPr>
      </w:pPr>
    </w:p>
    <w:p>
      <w:pPr>
        <w:ind w:left="120" w:firstLine="44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120"/>
        <w:spacing w:after="0" w:line="161" w:lineRule="exact"/>
        <w:tabs>
          <w:tab w:leader="none" w:pos="1980" w:val="left"/>
          <w:tab w:leader="none" w:pos="85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115" w:lineRule="exact"/>
        <w:rPr>
          <w:sz w:val="24"/>
          <w:szCs w:val="24"/>
          <w:color w:val="auto"/>
        </w:rPr>
      </w:pPr>
    </w:p>
    <w:p>
      <w:pPr>
        <w:ind w:left="120"/>
        <w:spacing w:after="0" w:line="161" w:lineRule="exact"/>
        <w:tabs>
          <w:tab w:leader="none" w:pos="1980" w:val="left"/>
          <w:tab w:leader="none" w:pos="858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163" w:lineRule="exact"/>
        <w:rPr>
          <w:sz w:val="24"/>
          <w:szCs w:val="24"/>
          <w:color w:val="auto"/>
        </w:rPr>
      </w:pPr>
    </w:p>
    <w:p>
      <w:pPr>
        <w:ind w:left="860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2">
            <w:col w:w="10800" w:space="120"/>
            <w:col w:w="220"/>
          </w:cols>
          <w:pgMar w:left="320" w:top="230" w:right="439" w:bottom="1440" w:gutter="0" w:footer="0" w:header="0"/>
          <w:type w:val="continuous"/>
        </w:sectPr>
      </w:pPr>
    </w:p>
    <w:p>
      <w:pPr>
        <w:ind w:left="120" w:right="580" w:firstLine="44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92075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2"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CALCULATION OF REGISTRATION FEE</w:t>
      </w:r>
    </w:p>
    <w:p>
      <w:pPr>
        <w:spacing w:after="0" w:line="53"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356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356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8"/>
              </w:rPr>
              <w:t>Amount</w:t>
            </w:r>
          </w:p>
        </w:tc>
        <w:tc>
          <w:tcPr>
            <w:tcW w:w="1860" w:type="dxa"/>
            <w:vAlign w:val="bottom"/>
            <w:tcBorders>
              <w:right w:val="single" w:sz="8" w:color="auto"/>
            </w:tcBorders>
          </w:tcPr>
          <w:p>
            <w:pPr>
              <w:jc w:val="center"/>
              <w:ind w:left="10"/>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Borders>
              <w:right w:val="single" w:sz="8" w:color="auto"/>
            </w:tcBorders>
          </w:tcPr>
          <w:p>
            <w:pPr>
              <w:jc w:val="center"/>
              <w:ind w:left="10"/>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56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tcBorders>
              <w:right w:val="single" w:sz="8" w:color="auto"/>
            </w:tcBorders>
          </w:tcPr>
          <w:p>
            <w:pPr>
              <w:jc w:val="center"/>
              <w:ind w:left="30"/>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56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86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86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89"/>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6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4"/>
                <w:szCs w:val="14"/>
                <w:b w:val="1"/>
                <w:bCs w:val="1"/>
                <w:color w:val="auto"/>
              </w:rPr>
              <w:t>Title of Securities to be Registered (1)</w:t>
            </w:r>
          </w:p>
        </w:tc>
        <w:tc>
          <w:tcPr>
            <w:tcW w:w="188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9"/>
              </w:rPr>
              <w:t>Registered (1)</w:t>
            </w:r>
          </w:p>
        </w:tc>
        <w:tc>
          <w:tcPr>
            <w:tcW w:w="186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9"/>
              </w:rPr>
              <w:t>Per Unit (2)</w:t>
            </w:r>
          </w:p>
        </w:tc>
        <w:tc>
          <w:tcPr>
            <w:tcW w:w="186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4"/>
                <w:szCs w:val="14"/>
                <w:b w:val="1"/>
                <w:bCs w:val="1"/>
                <w:color w:val="auto"/>
                <w:w w:val="94"/>
              </w:rPr>
              <w:t>Offering Price</w:t>
            </w:r>
          </w:p>
        </w:tc>
        <w:tc>
          <w:tcPr>
            <w:tcW w:w="18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42"/>
        </w:trPr>
        <w:tc>
          <w:tcPr>
            <w:tcW w:w="356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$0.01 par value per share</w:t>
            </w:r>
          </w:p>
        </w:tc>
        <w:tc>
          <w:tcPr>
            <w:tcW w:w="1880" w:type="dxa"/>
            <w:vAlign w:val="bottom"/>
            <w:tcBorders>
              <w:bottom w:val="single" w:sz="8" w:color="auto"/>
              <w:right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89"/>
              </w:rPr>
              <w:t>12,441,021 shares</w:t>
            </w:r>
          </w:p>
        </w:tc>
        <w:tc>
          <w:tcPr>
            <w:tcW w:w="1860" w:type="dxa"/>
            <w:vAlign w:val="bottom"/>
            <w:tcBorders>
              <w:bottom w:val="single" w:sz="8" w:color="auto"/>
              <w:right w:val="single" w:sz="8" w:color="auto"/>
            </w:tcBorders>
          </w:tcPr>
          <w:p>
            <w:pPr>
              <w:jc w:val="center"/>
              <w:ind w:left="10"/>
              <w:spacing w:after="0" w:line="142" w:lineRule="exact"/>
              <w:rPr>
                <w:sz w:val="20"/>
                <w:szCs w:val="20"/>
                <w:color w:val="auto"/>
              </w:rPr>
            </w:pPr>
            <w:r>
              <w:rPr>
                <w:rFonts w:ascii="Arial" w:cs="Arial" w:eastAsia="Arial" w:hAnsi="Arial"/>
                <w:sz w:val="14"/>
                <w:szCs w:val="14"/>
                <w:color w:val="auto"/>
                <w:w w:val="88"/>
              </w:rPr>
              <w:t>$13.85</w:t>
            </w:r>
          </w:p>
        </w:tc>
        <w:tc>
          <w:tcPr>
            <w:tcW w:w="1860" w:type="dxa"/>
            <w:vAlign w:val="bottom"/>
            <w:tcBorders>
              <w:bottom w:val="single" w:sz="8" w:color="auto"/>
              <w:right w:val="single" w:sz="8" w:color="auto"/>
            </w:tcBorders>
          </w:tcPr>
          <w:p>
            <w:pPr>
              <w:jc w:val="center"/>
              <w:ind w:left="10"/>
              <w:spacing w:after="0" w:line="142" w:lineRule="exact"/>
              <w:rPr>
                <w:sz w:val="20"/>
                <w:szCs w:val="20"/>
                <w:color w:val="auto"/>
              </w:rPr>
            </w:pPr>
            <w:r>
              <w:rPr>
                <w:rFonts w:ascii="Arial" w:cs="Arial" w:eastAsia="Arial" w:hAnsi="Arial"/>
                <w:sz w:val="14"/>
                <w:szCs w:val="14"/>
                <w:color w:val="auto"/>
                <w:w w:val="93"/>
              </w:rPr>
              <w:t>$172,308,140.85</w:t>
            </w:r>
          </w:p>
        </w:tc>
        <w:tc>
          <w:tcPr>
            <w:tcW w:w="1860" w:type="dxa"/>
            <w:vAlign w:val="bottom"/>
            <w:tcBorders>
              <w:bottom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91"/>
              </w:rPr>
              <w:t>$18,798.82</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120" w:hanging="424"/>
        <w:spacing w:after="0" w:line="223"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Consists of (a) 9,819,234 shares of the registrant’s common stock issuable upon the conversion of the registrant’s senior unsecured convertible promissory notes (the “Notes”) and (b) 2,621,787 shares of the registrant’s common stock, which represents the maximum number of additional shares of common stock issuable in connection with an adjustment to the conversion rate of the Notes if a holder of Notes exercises its conversion right upon the occurrence of certain transactions. Pursuant to Rule 416(a) of the Securities Act of 1933, as amended, this registration statement also covers such additional shares of the registrant’s common stock as may hereafter be offered or issued to prevent dilution resulting from stock splits, stock dividends, recapitalizations or certain other capital adjustments.</w:t>
      </w:r>
    </w:p>
    <w:p>
      <w:pPr>
        <w:spacing w:after="0" w:line="1" w:lineRule="exact"/>
        <w:rPr>
          <w:rFonts w:ascii="Arial" w:cs="Arial" w:eastAsia="Arial" w:hAnsi="Arial"/>
          <w:sz w:val="14"/>
          <w:szCs w:val="14"/>
          <w:color w:val="auto"/>
        </w:rPr>
      </w:pPr>
    </w:p>
    <w:p>
      <w:pPr>
        <w:ind w:left="540" w:right="280" w:hanging="424"/>
        <w:spacing w:after="0" w:line="271"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in accordance with Rule 457(c) under the Securities Act of 1933, as amended. The price per share and aggregate offering price are based on the average of the high and low prices of the registrant’s common stock on May 26, 2021, as reported on The Nasdaq Capital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12700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171450</wp:posOffset>
            </wp:positionV>
            <wp:extent cx="2117090" cy="8312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1709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12,441,021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This prospectus relates to the proposed offering and resale by the selling stockholder identified in this prospectus of up to an aggregate of 12,441,021 shares of common stock, par value $0.01 per share, of Heron Therapeutics, Inc., or Heron, of which 9,819,234 shares of common stock are issuable upon the conversion of Heron’s senior unsecured convertible promissory notes, or the Notes, and (b) 2,621,787 shares of Heron’s common stock, which represents the maximum number of additional shares of common stock issuable in connection with an adjustment to the conversion rate of the Notes if a holder of Notes exercises its conversion right upon the occurrence of certain transactions. The Notes were issued and sold to accredited investors in a private placement which closed on May 26, 2021. We are not selling any shares of common stock under this prospectus and will not receive any of the proceeds from the sale or other disposition of common stock by the selling stockholder.</w:t>
      </w:r>
    </w:p>
    <w:p>
      <w:pPr>
        <w:spacing w:after="0" w:line="17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“HRTX.” On May 26, 2021, the last reported sale price of our common stock on The Nasdaq Capital Market was $13.65 per share.</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selling stockholder may sell the shares of common stock on any national securities exchange or quotation service on which the securities may be listed or quoted at the time of sale, in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“Plan of Distribution” elsewhere in this prospectus for more information about how the selling stockholder may sell or otherwise dispose of their shares of common stock hereunder.</w:t>
      </w:r>
    </w:p>
    <w:p>
      <w:pPr>
        <w:spacing w:after="0" w:line="161"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The selling stockholder may sell any, all or none of the securities offered by this prospectus and we do not know when or in what amount the selling stockholder may sell its shares of common stock hereunder following the effective date of the registration statement of which this prospectus forms a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right="160"/>
        <w:spacing w:after="0" w:line="300"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certain risks. See “</w:t>
      </w:r>
      <w:hyperlink w:anchor="page8">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5 of this prospectus and in the other documents that are incorporated by reference into this prospectus for certain risks you should consider. You should read the entire prospectus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182880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0" w:right="10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194945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date of this prospectus is May 28, 2021</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3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7620" w:type="dxa"/>
            <w:vAlign w:val="bottom"/>
            <w:gridSpan w:val="12"/>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334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456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NOTE REGARDING FORWARD-LOOKING STATEMENTS</w:t>
              </w:r>
            </w:hyperlink>
          </w:p>
        </w:tc>
        <w:tc>
          <w:tcPr>
            <w:tcW w:w="3060" w:type="dxa"/>
            <w:vAlign w:val="bottom"/>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94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ABOUT THE COMPANY</w:t>
              </w:r>
            </w:hyperlink>
          </w:p>
        </w:tc>
        <w:tc>
          <w:tcPr>
            <w:tcW w:w="5680" w:type="dxa"/>
            <w:vAlign w:val="bottom"/>
            <w:gridSpan w:val="7"/>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620" w:type="dxa"/>
            <w:vAlign w:val="bottom"/>
            <w:gridSpan w:val="1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USE OF PROCEEDS</w:t>
              </w:r>
            </w:hyperlink>
          </w:p>
        </w:tc>
        <w:tc>
          <w:tcPr>
            <w:tcW w:w="6040" w:type="dxa"/>
            <w:vAlign w:val="bottom"/>
            <w:gridSpan w:val="8"/>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620" w:type="dxa"/>
            <w:vAlign w:val="bottom"/>
            <w:gridSpan w:val="1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DESCRIPTION OF SECURITIES</w:t>
              </w:r>
            </w:hyperlink>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5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SELLING STOCKHOLDERS</w:t>
              </w:r>
            </w:hyperlink>
          </w:p>
        </w:tc>
        <w:tc>
          <w:tcPr>
            <w:tcW w:w="5120" w:type="dxa"/>
            <w:vAlign w:val="bottom"/>
            <w:gridSpan w:val="4"/>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2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PLAN OF DISTRIBUTION</w:t>
              </w:r>
            </w:hyperlink>
          </w:p>
        </w:tc>
        <w:tc>
          <w:tcPr>
            <w:tcW w:w="5400" w:type="dxa"/>
            <w:vAlign w:val="bottom"/>
            <w:gridSpan w:val="5"/>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EXPERTS</w:t>
              </w:r>
            </w:hyperlink>
          </w:p>
        </w:tc>
        <w:tc>
          <w:tcPr>
            <w:tcW w:w="5580" w:type="dxa"/>
            <w:vAlign w:val="bottom"/>
            <w:gridSpan w:val="6"/>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LEGAL MATTERS</w:t>
              </w:r>
            </w:hyperlink>
          </w:p>
        </w:tc>
        <w:tc>
          <w:tcPr>
            <w:tcW w:w="6160" w:type="dxa"/>
            <w:vAlign w:val="bottom"/>
            <w:gridSpan w:val="9"/>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402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INFORMATION INCORPORATED BY REFERENCE</w:t>
              </w:r>
            </w:hyperlink>
          </w:p>
        </w:tc>
        <w:tc>
          <w:tcPr>
            <w:tcW w:w="3600" w:type="dxa"/>
            <w:vAlign w:val="bottom"/>
            <w:gridSpan w:val="3"/>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7620" w:type="dxa"/>
            <w:vAlign w:val="bottom"/>
            <w:gridSpan w:val="1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WHERE YOU CAN FIND ADDITIONAL INFORMATION</w:t>
              </w:r>
            </w:hyperlink>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We have not authorized anyone to provide you with information other than that contained in or incorporated by reference into this prospectus to which we have referred you. We take no responsibility for, and can provide no assurance as to the reliability of, any other information that others may give to you. You should not assume that the information contained in this prospectus is accurate as of any date other than the date on the front cover of the prospectus or that the information contained in any document incorporated by reference is accurate as of any date other than the date of the document incorporated by reference. Our business, financial condition, results of operations and prospects may have changed since those dates. The selling stockholder is not offering to sell, or seeking offers to buy, securities in any jurisdiction in which an offer or solicitation is not authorized or permitted or in which the person making such offer or solicitation is not qualified to do so or to anyone to whom it is unlawful to make an offer or solicitation.</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Heron Therapeutics</w:t>
      </w:r>
      <w:r>
        <w:rPr>
          <w:rFonts w:ascii="Arial" w:cs="Arial" w:eastAsia="Arial" w:hAnsi="Arial"/>
          <w:sz w:val="15"/>
          <w:szCs w:val="15"/>
          <w:color w:val="auto"/>
        </w:rPr>
        <w:t>®</w:t>
      </w:r>
      <w:r>
        <w:rPr>
          <w:rFonts w:ascii="Arial" w:cs="Arial" w:eastAsia="Arial" w:hAnsi="Arial"/>
          <w:sz w:val="18"/>
          <w:szCs w:val="18"/>
          <w:color w:val="auto"/>
        </w:rPr>
        <w:t>, the Heron logo, ZYNRELEF</w:t>
      </w:r>
      <w:r>
        <w:rPr>
          <w:rFonts w:ascii="Arial" w:cs="Arial" w:eastAsia="Arial" w:hAnsi="Arial"/>
          <w:sz w:val="15"/>
          <w:szCs w:val="15"/>
          <w:color w:val="auto"/>
        </w:rPr>
        <w:t>™</w:t>
      </w:r>
      <w:r>
        <w:rPr>
          <w:rFonts w:ascii="Arial" w:cs="Arial" w:eastAsia="Arial" w:hAnsi="Arial"/>
          <w:sz w:val="18"/>
          <w:szCs w:val="18"/>
          <w:color w:val="auto"/>
        </w:rPr>
        <w:t>, CINVANTI</w:t>
      </w:r>
      <w:r>
        <w:rPr>
          <w:rFonts w:ascii="Arial" w:cs="Arial" w:eastAsia="Arial" w:hAnsi="Arial"/>
          <w:sz w:val="15"/>
          <w:szCs w:val="15"/>
          <w:color w:val="auto"/>
        </w:rPr>
        <w:t>®</w:t>
      </w:r>
      <w:r>
        <w:rPr>
          <w:rFonts w:ascii="Arial" w:cs="Arial" w:eastAsia="Arial" w:hAnsi="Arial"/>
          <w:sz w:val="18"/>
          <w:szCs w:val="18"/>
          <w:color w:val="auto"/>
        </w:rPr>
        <w:t>, SUSTOL</w:t>
      </w:r>
      <w:r>
        <w:rPr>
          <w:rFonts w:ascii="Arial" w:cs="Arial" w:eastAsia="Arial" w:hAnsi="Arial"/>
          <w:sz w:val="15"/>
          <w:szCs w:val="15"/>
          <w:color w:val="auto"/>
        </w:rPr>
        <w:t>®</w:t>
      </w:r>
      <w:r>
        <w:rPr>
          <w:rFonts w:ascii="Arial" w:cs="Arial" w:eastAsia="Arial" w:hAnsi="Arial"/>
          <w:sz w:val="18"/>
          <w:szCs w:val="18"/>
          <w:color w:val="auto"/>
        </w:rPr>
        <w:t>, and Biochronomer</w:t>
      </w:r>
      <w:r>
        <w:rPr>
          <w:rFonts w:ascii="Arial" w:cs="Arial" w:eastAsia="Arial" w:hAnsi="Arial"/>
          <w:sz w:val="15"/>
          <w:szCs w:val="15"/>
          <w:color w:val="auto"/>
        </w:rPr>
        <w:t>®</w:t>
      </w:r>
      <w:r>
        <w:rPr>
          <w:rFonts w:ascii="Arial" w:cs="Arial" w:eastAsia="Arial" w:hAnsi="Arial"/>
          <w:sz w:val="18"/>
          <w:szCs w:val="18"/>
          <w:color w:val="auto"/>
        </w:rPr>
        <w:t xml:space="preserve"> are our trademarks. All other trademarks appearing or incorporated by reference into this prospectus are the property of their respective owners.</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This prospectus is part of an automatic shelf registration statement that we filed with the Securities and Exchange Commission, or the SEC, as a “well-known seasoned issuer” as defined in Rule 405 under the Securities Act of 1933, as amended (the “Securities Act”). Under this shelf registration statement, the selling stockholder may offer shares of our common stock from time to time in one or more offerings under this prospectus at prices and on terms to be determined by market conditions at the time of offering. We urge you to carefully read this prospectus together with the information incorporated herein by reference as described under the headings “Information Incorporated by Reference” and “Where You Can Find Additional Information” before you invest in our securities.</w:t>
      </w:r>
    </w:p>
    <w:p>
      <w:pPr>
        <w:spacing w:after="0" w:line="192"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Additional Information.”</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This prospectus contains forward-looking statements within the meaning of the federal securities laws. We make such forward-looking statements pursuant to the safe harbor provisions of the Private Securities Litigation Reform Act of 1995 and other federal securities laws. You can identify forward-looking statements by the use of the words “believe,” “expect,” “anticipate,” “intend,” “estimate,” “project,” “will,” “could,” “should,” “may,” “might,” “plan,” “assume” and other expressions that predict or indicate future events and trends and which do not relate to historical matters. You should not rely on forward-looking statements, because they involve known and unknown risks, uncertainties and other factors, some of which are beyond our control. These risks, uncertainties and other factors may cause our actual results, performance or achievements to be materially different from our anticipated future results, performance or achievements expressed or implied by the forward-looking statements.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131" w:lineRule="exact"/>
        <w:rPr>
          <w:sz w:val="20"/>
          <w:szCs w:val="20"/>
          <w:color w:val="auto"/>
        </w:rPr>
      </w:pPr>
    </w:p>
    <w:p>
      <w:pPr>
        <w:ind w:left="1080" w:right="80" w:hanging="424"/>
        <w:spacing w:after="0" w:line="255"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commercialize, market and achieve market acceptance of ZYNRELEF in the United States (“U.S.”), the European Union (“EU”), the other countries in the European Economic Area (“EEA”), the United Kingdom, and any other countries in which we receive applicable regulatory approvals, including Canada, and CINVANTI (aprepitant) injectable emulsion (“CINVANTI”) and SUSTOL (granisetron) extended-release injection (“SUSTOL”) in the U.S. (collectively, our “Products”) and HTX-019, HTX-034 and CINVANTI for the treatment of COVID-19 (collectively, our “Product Candidates”), if approved by applicable regulatory authorities, and our positioning relative to competing products;</w:t>
      </w:r>
    </w:p>
    <w:p>
      <w:pPr>
        <w:spacing w:after="0" w:line="97"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establish satisfactory pricing and obtain adequate reimbursement from government and third-party payors of our Products and our Product Candidates, if approved, or any other product candidates we may develop;</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study results of our Products and Product Candidates are indicative of the results in future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and results of the commercial launch of ZYNRELEF;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regulatory approval for and commercial launch of our Product Candidates,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market opportunities for our Products and our Product Candidates,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competitors’ activities, including decisions as to the timing of competing product launches, generic entrants, pricing and discounting;</w:t>
      </w:r>
    </w:p>
    <w:p>
      <w:pPr>
        <w:spacing w:after="0" w:line="153" w:lineRule="exact"/>
        <w:rPr>
          <w:rFonts w:ascii="Arial" w:cs="Arial" w:eastAsia="Arial" w:hAnsi="Arial"/>
          <w:sz w:val="16"/>
          <w:szCs w:val="16"/>
          <w:color w:val="auto"/>
        </w:rPr>
      </w:pPr>
    </w:p>
    <w:p>
      <w:pPr>
        <w:ind w:left="1080" w:right="240" w:hanging="424"/>
        <w:spacing w:after="0" w:line="308" w:lineRule="auto"/>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whether safety and efficacy results of our clinical studies and other required tests for approval of our Product Candidates provide data to warrant progression of clinical trials, potential regulatory approval or further development of any of our Product Candidates;</w:t>
      </w:r>
    </w:p>
    <w:p>
      <w:pPr>
        <w:spacing w:after="0" w:line="51" w:lineRule="exact"/>
        <w:rPr>
          <w:rFonts w:ascii="Arial" w:cs="Arial" w:eastAsia="Arial" w:hAnsi="Arial"/>
          <w:sz w:val="17"/>
          <w:szCs w:val="17"/>
          <w:color w:val="auto"/>
        </w:rPr>
      </w:pPr>
    </w:p>
    <w:p>
      <w:pPr>
        <w:ind w:left="1080" w:right="2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studies, and our ability to submit for and obtain regulatory approval for product candidates in our anticipated timing, or at all;</w:t>
      </w:r>
    </w:p>
    <w:p>
      <w:pPr>
        <w:spacing w:after="0" w:line="75"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postmarketing study requirements within the U.S. Food and Drug Administration’s (“FDA”) mandated timelines and to obtain favorable results and comply with standard postmarketing requirements, including U.S. federal advertising and promotion laws, federal and state anti-fraud and abuse laws, healthcare information privacy and security laws, safety information, safety surveillance and disclosure of payments or other transfers of value to healthcare professionals and entities for our Products or any of our Product Candidates;</w:t>
      </w:r>
    </w:p>
    <w:p>
      <w:pPr>
        <w:spacing w:after="0" w:line="93"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develop and achieve regulatory approval for our Product Candidates and our other future product candidates utilizing our proprietary Biochronomer drug delivery technology (“Biochronomer Technology”);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key collaborations and vendor relationships for our Products and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develop and commercialize any technology that we may in-license or products we may acquire;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delays due to manufacturing difficulties, supply constraints or changes in the regulatory environment;</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operate in non-U.S. jurisdictions in which we may choose to do business, including compliance with applicable regulatory requirements and laws;</w:t>
      </w:r>
    </w:p>
    <w:p>
      <w:pPr>
        <w:spacing w:after="0" w:line="75" w:lineRule="exact"/>
        <w:rPr>
          <w:rFonts w:ascii="Arial" w:cs="Arial" w:eastAsia="Arial" w:hAnsi="Arial"/>
          <w:sz w:val="18"/>
          <w:szCs w:val="18"/>
          <w:color w:val="auto"/>
        </w:rPr>
      </w:pPr>
    </w:p>
    <w:p>
      <w:pPr>
        <w:jc w:val="both"/>
        <w:ind w:left="1080" w:right="56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associated with obtaining and enforcing patents and trade secrets to protect our Products, our Product Candidates, our Biochronomer Technology and our other technology, and our ability to successfully defend ourselves against unforeseen third-party infringement claims;</w:t>
      </w:r>
    </w:p>
    <w:p>
      <w:pPr>
        <w:spacing w:after="0" w:line="89"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of the impact of the ongoing Coronavirus Disease 2019 (“COVID-19”) pandemic on our business, including any COVID-19 mutations and any other diseases related to or resulting from COVID-19;</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capital requirements;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and raise capital as necessary to fund operations or pursue business opportunities.</w:t>
      </w:r>
    </w:p>
    <w:p>
      <w:pPr>
        <w:spacing w:after="0" w:line="225"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Any forward-looking statements in this prospectus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the section entitled “Risk Factors” in this prospectus, as may be updated from time to time by our future filings under the Securities Exchange Act of 1934, as amended (the “Exchange Act”), and discussed elsewhere in this prospectus and the documents incorporated by reference herein. You should carefully review all of these factors. These forward-looking statements were based on information, plans and estimates as of the date of this prospectus, and except as required by law, we assume no obligation to update any forward-looking statements to reflect changes in underlying assumptions or factors, new information, future events or other changes.</w:t>
      </w:r>
    </w:p>
    <w:p>
      <w:pPr>
        <w:spacing w:after="0" w:line="19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This prospectus may also contain estimates, projections and other information concerning our industry, our business, and the markets for certain diseases, including data regarding the estimated size of those markets. Information that is based on estimates, forecasts, projections, market research or similar methodologies is inherently subject to uncertainties and actual events or circumstances may differ materially from events and circumstances reflected in this information.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THE COMPANY</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i w:val="1"/>
          <w:iCs w:val="1"/>
          <w:color w:val="auto"/>
        </w:rPr>
        <w:t>Unless the context requires otherwise, in this prospectus, the “Company,” “Heron,” “we,” “us” and “our” refer to Heron Therapeutics Inc. and our wholly owned subsidiary, Heron Therapeutics B.V.</w:t>
      </w:r>
    </w:p>
    <w:p>
      <w:pPr>
        <w:spacing w:after="0" w:line="170"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are a commercial-stage biotechnology company focused on improving the lives of patients by developing best-in-class treatments to address some of the most important unmet patient needs. Our advanced science, patented technologies, and innovative approach to drug discovery and development have allowed us to create and commercialize a portfolio of products that aim to advance the standard of care for acute care and oncology patients.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Capital Market under the symbol “HRTX.”</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executive offices are located at 4242 Campus Point Court, Suite 200, San Diego, California 92121 and our telephone number is</w:t>
      </w:r>
    </w:p>
    <w:p>
      <w:pPr>
        <w:spacing w:after="0" w:line="23" w:lineRule="exact"/>
        <w:rPr>
          <w:sz w:val="20"/>
          <w:szCs w:val="20"/>
          <w:color w:val="auto"/>
        </w:rPr>
      </w:pPr>
    </w:p>
    <w:p>
      <w:pPr>
        <w:ind w:left="120" w:hanging="4"/>
        <w:spacing w:after="0" w:line="255" w:lineRule="auto"/>
        <w:tabs>
          <w:tab w:leader="none" w:pos="555" w:val="left"/>
        </w:tabs>
        <w:numPr>
          <w:ilvl w:val="0"/>
          <w:numId w:val="4"/>
        </w:numPr>
        <w:rPr>
          <w:rFonts w:ascii="Arial" w:cs="Arial" w:eastAsia="Arial" w:hAnsi="Arial"/>
          <w:sz w:val="18"/>
          <w:szCs w:val="18"/>
          <w:color w:val="auto"/>
        </w:rPr>
      </w:pPr>
      <w:r>
        <w:rPr>
          <w:rFonts w:ascii="Arial" w:cs="Arial" w:eastAsia="Arial" w:hAnsi="Arial"/>
          <w:sz w:val="18"/>
          <w:szCs w:val="18"/>
          <w:color w:val="auto"/>
        </w:rPr>
        <w:t>251-4400. Additional information regarding our company, including our audited financial statements and descriptions of our business, is contained in the documents incorporated by reference in this prospectus. See “Where You Can Find Additional Information” on page 15 and “Information Incorporated by Reference” beginning on page 14.</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Investing in our securities involves a high degree of risk. Before you decide whether to purchase any of our securities, in addition to the other information, documents or reports included in or incorporated by reference into this prospectus you should carefully consider the risk factors in the section entitled “Risk Factors” in our most recent Annual Report on Form 10-K and any subsequent Quarterly Reports on Form 10-Q, which are incorporated by reference into this prospectus in their entirety, as the same may be amended, supplemented or superseded from time to time by our filings under the Exchange Act. For additional information, see the section entitled “Where You Can Find Additional Information.” These risks could materially and adversely affect our business, results of operations, financial condition and prospects and could result in a partial or complete loss of your investment.</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will not receive any of the proceeds from the sale of shares of our common stock in this offering. The selling stockholder will receive all of the proceeds from this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following is a description of our common stock. You should refer to our certificate of incorporation and our bylaws for the actual terms of our common stock. Copies of our certificate of incorporation and bylaws may be obtained as described under the heading “Where You Can Find Additional Information” in this prospectus.</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are authorized to issue up to 152,500,000 shares of capital stock of which 150,000,000 shares are of common stock, par value $0.01 per share, and 2,500,000 shares are of preferred stock, par value $0.01 per share.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holders of common stock are entitled to one vote per share on all matters to be voted upon by the stockholders. Subject to preferences that may be applicable to any outstanding preferred stock, the holders of common stock are entitled to receive ratably all dividends, if any, as may be declared from time to time by our Board of Directors out of the funds legally available. In the event of the liquidation, dissolution or winding up of the Company, the holders of our common stock are entitled to share ratably in all assets remaining after payment of liabilities, subject to prior distribution rights of preferred stock, if any, then outstanding. The common stock has no preemptive or conversion rights. There are no redemption or sinking fund provisions applicable to the common stock. All outstanding shares of common stock are fully paid and non-assessable, and the shares of common stock to be issued upon completion of this offering will be fully paid and non-assessable.</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May 27, 2021, 101,829,504 shares of our common stock were issued and outstanding.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Computershare Trust Company N.A.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currently listed on The Nasdaq Capital Market under the symbol “HRTX.”</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Provisions Affecting Control of Heron Therapeutics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i w:val="1"/>
          <w:iCs w:val="1"/>
          <w:color w:val="auto"/>
        </w:rPr>
        <w:t>Certificate of Incorporation and Bylaw Provisions</w:t>
      </w:r>
      <w:r>
        <w:rPr>
          <w:rFonts w:ascii="Arial" w:cs="Arial" w:eastAsia="Arial" w:hAnsi="Arial"/>
          <w:sz w:val="18"/>
          <w:szCs w:val="18"/>
          <w:color w:val="auto"/>
        </w:rPr>
        <w:t>. Some provisions of Delaware law and our certificate of incorporation and bylaws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that could make the following transactions more difficult:</w:t>
      </w:r>
    </w:p>
    <w:p>
      <w:pPr>
        <w:spacing w:after="0" w:line="76"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 of us by means of a proxy contest or otherwise;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These provisions, summarized below, are intended to discourage coercive takeover practices and inadequate takeover bids and to promote stability in our management. These provisions are also designed to encourage persons seeking to acquire control of us to first negotiate with our Board of Directors.</w:t>
      </w:r>
    </w:p>
    <w:p>
      <w:pPr>
        <w:spacing w:after="0" w:line="18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i w:val="1"/>
          <w:iCs w:val="1"/>
          <w:color w:val="auto"/>
        </w:rPr>
        <w:t>Undesignated Preferred Stock</w:t>
      </w:r>
      <w:r>
        <w:rPr>
          <w:rFonts w:ascii="Arial" w:cs="Arial" w:eastAsia="Arial" w:hAnsi="Arial"/>
          <w:sz w:val="17"/>
          <w:szCs w:val="17"/>
          <w:color w:val="auto"/>
        </w:rPr>
        <w:t>. The ability to authorize undesignated preferred stock makes it possible for our Board of Directors to issue one or</w:t>
      </w:r>
      <w:r>
        <w:rPr>
          <w:rFonts w:ascii="Arial" w:cs="Arial" w:eastAsia="Arial" w:hAnsi="Arial"/>
          <w:sz w:val="17"/>
          <w:szCs w:val="17"/>
          <w:i w:val="1"/>
          <w:iCs w:val="1"/>
          <w:color w:val="auto"/>
        </w:rPr>
        <w:t xml:space="preserve"> </w:t>
      </w:r>
      <w:r>
        <w:rPr>
          <w:rFonts w:ascii="Arial" w:cs="Arial" w:eastAsia="Arial" w:hAnsi="Arial"/>
          <w:sz w:val="17"/>
          <w:szCs w:val="17"/>
          <w:color w:val="auto"/>
        </w:rPr>
        <w:t>more series of preferred stock with voting or other rights or preferences that could impede the success of any attempt to change control of us. These and other provisions may have the effect of deferring hostile takeovers or delaying changes in control or management of our company.</w:t>
      </w:r>
    </w:p>
    <w:p>
      <w:pPr>
        <w:spacing w:after="0" w:line="16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i w:val="1"/>
          <w:iCs w:val="1"/>
          <w:color w:val="auto"/>
        </w:rPr>
        <w:t>Advance Notice Procedures</w:t>
      </w:r>
      <w:r>
        <w:rPr>
          <w:rFonts w:ascii="Arial" w:cs="Arial" w:eastAsia="Arial" w:hAnsi="Arial"/>
          <w:sz w:val="18"/>
          <w:szCs w:val="18"/>
          <w:color w:val="auto"/>
        </w:rPr>
        <w:t>. The advance notice procedures in our bylaws with regard to stockholder proposals relating to the nomination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candidates for election as directors or new business to be brought before meetings of our stockholders provide that notice of stockholder proposals must be timely given in writing to our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such stockholder notices. These requirements may have the effect of precluding stockholders from bringing proposals relating to the nomination of candidates for election as directors or new business before the stockholders at an annual or special meeting.</w:t>
      </w:r>
    </w:p>
    <w:p>
      <w:pPr>
        <w:spacing w:after="0" w:line="18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i w:val="1"/>
          <w:iCs w:val="1"/>
          <w:color w:val="auto"/>
        </w:rPr>
        <w:t>Delaware Anti-Takeover Statute</w:t>
      </w:r>
      <w:r>
        <w:rPr>
          <w:rFonts w:ascii="Arial" w:cs="Arial" w:eastAsia="Arial" w:hAnsi="Arial"/>
          <w:sz w:val="18"/>
          <w:szCs w:val="18"/>
          <w:color w:val="auto"/>
        </w:rPr>
        <w:t>. We are subject to Section 203 of the Delaware General Corporation Law. This law prohibits a publicly held</w:t>
      </w:r>
      <w:r>
        <w:rPr>
          <w:rFonts w:ascii="Arial" w:cs="Arial" w:eastAsia="Arial" w:hAnsi="Arial"/>
          <w:sz w:val="18"/>
          <w:szCs w:val="18"/>
          <w:i w:val="1"/>
          <w:iCs w:val="1"/>
          <w:color w:val="auto"/>
        </w:rPr>
        <w:t xml:space="preserve"> </w:t>
      </w:r>
      <w:r>
        <w:rPr>
          <w:rFonts w:ascii="Arial" w:cs="Arial" w:eastAsia="Arial" w:hAnsi="Arial"/>
          <w:sz w:val="18"/>
          <w:szCs w:val="18"/>
          <w:color w:val="auto"/>
        </w:rPr>
        <w:t>Delaware corporation from engaging in any business combination with any interested stockholder for a period of three years following the date that the stockholder became an interested stockholder unless:</w:t>
      </w:r>
    </w:p>
    <w:p>
      <w:pPr>
        <w:spacing w:after="0" w:line="89" w:lineRule="exact"/>
        <w:rPr>
          <w:sz w:val="20"/>
          <w:szCs w:val="20"/>
          <w:color w:val="auto"/>
        </w:rPr>
      </w:pPr>
    </w:p>
    <w:p>
      <w:pPr>
        <w:ind w:left="1080" w:right="3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80" w:right="240" w:hanging="424"/>
        <w:spacing w:after="0" w:line="25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93"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the board of directors and authorized at an annual or special meeting of stockholders, and not by written consent, by the affirmative vote of at least two-thirds of the outstanding voting stock which is not owned by the interested stockholder.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203 defines “business combination” to include:</w:t>
      </w:r>
    </w:p>
    <w:p>
      <w:pPr>
        <w:spacing w:after="0" w:line="131"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our assets involving the interested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general, any transaction that results in the issuance or transfer by us of any of our stock to the interested stockholder; or</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the entity or person.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SELLING STOCKHOLDER</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prospectus covers the possible resale or other disposition from time to time by the selling stockholder identified in the table below of up to an aggregate of 12,441,021 shares of our common stock, which consists of (a) 9,819,234 shares of our common stock issuable upon the conversion of our senior unsecured convertible promissory notes (the “Notes”) and (b) 2,621,787 shares of our common stock, which represents the maximum number of shares of our common stock issuable in connection with an adjustment to the conversion rate of the Notes if a holder of Notes exercises its conversion right upon the occurrence of certain transactions.</w:t>
      </w:r>
    </w:p>
    <w:p>
      <w:pPr>
        <w:spacing w:after="0" w:line="188"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On May 25, 2021, we entered into a note purchase agreement with 667, L.P. (“667”) and Baker Brothers Life Sciences, L.P. (“BBLS,” and together with 667, the “BBA Funds”), entities for which the selling stockholder, Baker Bros. Advisors LP (“BBA”) serves as investment adviser (the “Note Purchase Agreement”), pursuant to which we sold in a private placement $150,000,000 aggregate principal amount of the Notes. This prospectus covers the resale or other disposition by the selling stockholder or their transferees of up to the total number of shares of common stock issuable upon conversion of the Notes. Throughout this prospectus, when we refer to the selling stockholder in this prospectus, we are referring to BBA, the investment adviser of the purchasers of the Notes under the Note Purchase Agreement.</w:t>
      </w:r>
    </w:p>
    <w:p>
      <w:pPr>
        <w:spacing w:after="0" w:line="178"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We are registering the above-referenced shares to permit the selling stockholder and its pledgees, donees, transferees or other successors-in-interest that receive its shares after the date of this prospectus to resell or otherwise dispose of the shares in the manner contemplated under “Plan of Distribution” herein.</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Except as otherwise disclosed herein, the selling stockholder does not have, and within the past three years has not had, any position, office or other material relationship with us.</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following table sets forth the name of the selling stockholder, the maximum number of shares issuable to the selling stockholder upon conversion of the Notes, the number of shares that may be offered under this prospectus and the number of shares of our common stock that would be beneficially owned by the selling stockholder assuming all of the shares registered for resale hereby are sold. The number of shares in the column “Number of Shares Being Offered” represents all of the shares that the selling stockholder may offer under this prospectus. The right to convert Notes to common stock may not be exercised if the holder of the Notes, together with its affiliates and any persons who are members of a Section 13(d) group with the holder, would beneficially own more than 4.99% of the number of shares of common stock outstanding immediately after giving effect to such conversion (the “Beneficial Ownership Limitation”). By written notice to us, the holders of the Notes may increase or decrease the Beneficial Ownership Limitation to any other percentage not in excess of 19.99%. Any increase in the Beneficial Ownership Limitation would not be effective until 61 days after written notice is received by us. As a result of the Beneficial Ownership Limitation, the number of shares of common stock that may be issued upon conversion of the Notes held by the BBA Funds may change depending upon changes in the outstanding shares of our common stock. The beneficial ownership amounts in the table below do not give effect to the Beneficial Ownership Limitation solely for illustrative purposes. BBA and its affiliates disclaim beneficial ownership of any shares of common stock the issuance of which would violate such Beneficial Ownership Limitation.</w:t>
      </w:r>
    </w:p>
    <w:p>
      <w:pPr>
        <w:spacing w:after="0" w:line="168"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The selling stockholder may sell some, all or none of its shares. We do not know how long the selling stockholder will hold the shares before selling them, and we currently have no agreements, arrangements or understandings with the selling stockholder regarding the sale or other disposition of any of the shares. The shares covered hereby may be offered from time to time by the selling stockholder.</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information set forth below is based upon information obtained from the selling stockholder. The percentages of shares owned after the offering are based on 101,829,504 shares of our common stock outstanding as of May 27, 2021, plus the shares of common stock registered for resale hereby.</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6"/>
              </w:rPr>
              <w:t>Maximum Number of</w:t>
            </w: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Shares of</w:t>
            </w: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6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1"/>
              </w:rPr>
              <w:t>Shares of 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82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1"/>
              </w:rPr>
              <w:t>Number of Shares</w:t>
            </w:r>
          </w:p>
        </w:tc>
        <w:tc>
          <w:tcPr>
            <w:tcW w:w="2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Selling Stockholder</w:t>
            </w:r>
          </w:p>
        </w:tc>
        <w:tc>
          <w:tcPr>
            <w:tcW w:w="20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820" w:type="dxa"/>
            <w:vAlign w:val="bottom"/>
            <w:gridSpan w:val="2"/>
            <w:vMerge w:val="continue"/>
          </w:tcPr>
          <w:p>
            <w:pPr>
              <w:spacing w:after="0"/>
              <w:rPr>
                <w:sz w:val="12"/>
                <w:szCs w:val="12"/>
                <w:color w:val="auto"/>
              </w:rPr>
            </w:pPr>
          </w:p>
        </w:tc>
        <w:tc>
          <w:tcPr>
            <w:tcW w:w="21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Beneficially Owned After</w:t>
            </w:r>
          </w:p>
        </w:tc>
        <w:tc>
          <w:tcPr>
            <w:tcW w:w="0" w:type="dxa"/>
            <w:vAlign w:val="bottom"/>
          </w:tcPr>
          <w:p>
            <w:pPr>
              <w:spacing w:after="0"/>
              <w:rPr>
                <w:sz w:val="1"/>
                <w:szCs w:val="1"/>
                <w:color w:val="auto"/>
              </w:rPr>
            </w:pPr>
          </w:p>
        </w:tc>
      </w:tr>
      <w:tr>
        <w:trPr>
          <w:trHeight w:val="165"/>
        </w:trPr>
        <w:tc>
          <w:tcPr>
            <w:tcW w:w="4080" w:type="dxa"/>
            <w:vAlign w:val="bottom"/>
            <w:gridSpan w:val="3"/>
            <w:vMerge w:val="continue"/>
          </w:tcPr>
          <w:p>
            <w:pPr>
              <w:spacing w:after="0"/>
              <w:rPr>
                <w:sz w:val="14"/>
                <w:szCs w:val="14"/>
                <w:color w:val="auto"/>
              </w:rPr>
            </w:pPr>
          </w:p>
        </w:tc>
        <w:tc>
          <w:tcPr>
            <w:tcW w:w="206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98"/>
              </w:rPr>
              <w:t>Offering (1)</w:t>
            </w:r>
          </w:p>
        </w:tc>
        <w:tc>
          <w:tcPr>
            <w:tcW w:w="182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92"/>
              </w:rPr>
              <w:t>Being Offered</w:t>
            </w:r>
          </w:p>
        </w:tc>
        <w:tc>
          <w:tcPr>
            <w:tcW w:w="1420" w:type="dxa"/>
            <w:vAlign w:val="bottom"/>
            <w:gridSpan w:val="2"/>
          </w:tcPr>
          <w:p>
            <w:pPr>
              <w:jc w:val="center"/>
              <w:ind w:left="464"/>
              <w:spacing w:after="0" w:line="158" w:lineRule="exact"/>
              <w:rPr>
                <w:sz w:val="20"/>
                <w:szCs w:val="20"/>
                <w:color w:val="auto"/>
              </w:rPr>
            </w:pPr>
            <w:r>
              <w:rPr>
                <w:rFonts w:ascii="Arial" w:cs="Arial" w:eastAsia="Arial" w:hAnsi="Arial"/>
                <w:sz w:val="14"/>
                <w:szCs w:val="14"/>
                <w:b w:val="1"/>
                <w:bCs w:val="1"/>
                <w:color w:val="auto"/>
                <w:w w:val="95"/>
              </w:rPr>
              <w:t>Offering (2)</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232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tcBorders>
              <w:top w:val="single" w:sz="8" w:color="auto"/>
            </w:tcBorders>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Number</w:t>
            </w:r>
          </w:p>
        </w:tc>
        <w:tc>
          <w:tcPr>
            <w:tcW w:w="540" w:type="dxa"/>
            <w:vAlign w:val="bottom"/>
            <w:tcBorders>
              <w:top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w w:val="93"/>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4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Baker Bros. Advisors LP (3)</w:t>
            </w:r>
          </w:p>
        </w:tc>
        <w:tc>
          <w:tcPr>
            <w:tcW w:w="2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20,572,699(4)</w:t>
            </w:r>
          </w:p>
        </w:tc>
        <w:tc>
          <w:tcPr>
            <w:tcW w:w="1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12,441,021(5)</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8,131,678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20" w:hanging="424"/>
        <w:spacing w:after="0" w:line="253"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“Beneficial ownership” is a term broadly defined by the SEC in Rule 13d-3 under the Exchange Act. A person would be deemed the beneficial owner of shares as to which such person has or shares voting and/or investment power. For purposes of this table, a person or group of persons is deemed to have “beneficial ownership” of any shares for which there is a right to acquire beneficial ownership within 60 days of May 27, 2021. As noted above, the beneficial ownership amounts in the table do not give effect to the Beneficial Ownership Limitation solely for illustrative purposes.</w:t>
      </w:r>
    </w:p>
    <w:p>
      <w:pPr>
        <w:spacing w:after="0" w:line="3" w:lineRule="exact"/>
        <w:rPr>
          <w:rFonts w:ascii="Arial" w:cs="Arial" w:eastAsia="Arial" w:hAnsi="Arial"/>
          <w:sz w:val="18"/>
          <w:szCs w:val="18"/>
          <w:color w:val="auto"/>
        </w:rPr>
      </w:pPr>
    </w:p>
    <w:p>
      <w:pPr>
        <w:ind w:left="540" w:right="280" w:hanging="424"/>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Assumes that all shares being registered in this prospectus are resold to third parties and that the selling stockholder sells all shares of common stock registered under this prospectus beneficially owned by such selling stockholder.</w:t>
      </w:r>
    </w:p>
    <w:p>
      <w:pPr>
        <w:ind w:left="540" w:right="60" w:hanging="424"/>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Baker Bros. Advisors LP (“BBA”) is the investment adviser to Baker Brothers Life Sciences, L.P. (“BBLS”) and 667, L.P. (“667,” and together with BBLS, the “BBA Funds”) and has sole voting and investment power over the securities directly held by the BBA Funds and thus may be deemed to beneficially own such securities. Baker Bros. Advisors (GP) LLC (“BBA GP”) is the sole general partner of BBA and thus may be deemed to beneficially own the securities held by the BBA Funds. Julian C. Baker and Felix J. Baker are the managing members of BBA GP and may be deemed to be beneficial owners of securities of the Issuer directly held by the BBA Funds. The address of BBA is 860 Washington St, 3</w:t>
      </w:r>
      <w:r>
        <w:rPr>
          <w:rFonts w:ascii="Arial" w:cs="Arial" w:eastAsia="Arial" w:hAnsi="Arial"/>
          <w:sz w:val="15"/>
          <w:szCs w:val="15"/>
          <w:color w:val="auto"/>
        </w:rPr>
        <w:t>rd</w:t>
      </w:r>
      <w:r>
        <w:rPr>
          <w:rFonts w:ascii="Arial" w:cs="Arial" w:eastAsia="Arial" w:hAnsi="Arial"/>
          <w:sz w:val="18"/>
          <w:szCs w:val="18"/>
          <w:color w:val="auto"/>
        </w:rPr>
        <w:t xml:space="preserve"> Floor, New York, NY 10014.</w:t>
      </w:r>
    </w:p>
    <w:p>
      <w:pPr>
        <w:spacing w:after="0" w:line="2"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beneficial ownership included in the table above is as of May 27, 2021 and consists of (i) 7,450,059 shares of common stock, held directly by BBLS, (ii) 681,619 shares of common stock held directly by 667, (iii) a maximum of 11,516,730 shares of common stock issuable upon conversion of the Note held directly by BBLS, and (iv) a maximum of 924,291 shares of common stock issuable upon conversion of the Note held directly by 667, (iii) and (iv) representing the maximum number of shares of our common stock issuable in connection with an adjustment to the conversion rate of the Notes if a holder of Notes exercises its conversion right upon the occurrence of certain transactions. The right to convert Notes to common stock may not be exercised if the holder of the Notes, together with its affiliates and any persons who are members of a Section 13(d) group with the holder, would beneficially own more than 4.99% of the number of shares of common stock outstanding immediately after giving effect to such conversion (the “Beneficial Ownership Limitation”). By written notice to us, the holders of the Notes may increase or decrease the Beneficial Ownership Limitation to any other percentage not in excess of 19.99%. Any increase in the Beneficial Ownership Limitation would not be effective until 61 days after written notice is received by us. As a result of the Beneficial Ownership Limitation, the number of shares of common stock that may be issued upon conversion of shares of the Notes held by the BBA Funds may change depending upon changes in the outstanding shares of our common stock. The beneficial ownership amounts in the table above do not give effect to the Beneficial Ownership Limitation solely for illustrative purposes. BBA and its affiliates disclaim beneficial ownership of any shares of common stock the issuance of which would violate such Beneficial Ownership Limitation.</w:t>
      </w:r>
    </w:p>
    <w:p>
      <w:pPr>
        <w:spacing w:after="0" w:line="2" w:lineRule="exact"/>
        <w:rPr>
          <w:rFonts w:ascii="Arial" w:cs="Arial" w:eastAsia="Arial" w:hAnsi="Arial"/>
          <w:sz w:val="17"/>
          <w:szCs w:val="17"/>
          <w:color w:val="auto"/>
        </w:rPr>
      </w:pPr>
    </w:p>
    <w:p>
      <w:pPr>
        <w:ind w:left="540" w:right="20" w:hanging="424"/>
        <w:spacing w:after="0" w:line="253"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(i) a maximum of 11,516,730 shares of common stock issuable upon conversion of the Note held directly by BBLS, and (ii) a maximum of 924,291 shares of common stock issuable upon conversion of the Note held directly by 667, each representing the maximum number of shares of our common stock issuable in connection with an adjustment to the conversion rate of the Notes if a holder of Notes exercises its conversion right upon the occurrence of certain transactions.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the Selling Stockholder</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Pursuant to the Note Purchase Agreement, we agreed to prepare and file with the SEC a registration statement that permits the resale of the shares potentially issuable to the BBA Funds upon conversion of the Notes and, subject to certain exceptions, use commercially reasonable efforts to keep the registration statement of which this prospectus forms a part effective under the Securities Act. We have also agreed, among other things, to indemnify the BBA Funds selling stockholder and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our obligations under the Note Purchase Agreement.</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The selling stockholder, which shall include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selling stockholder may use any one or more of the following methods when disposing of shares or interests therein:</w:t>
      </w:r>
    </w:p>
    <w:p>
      <w:pPr>
        <w:spacing w:after="0" w:line="131"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own account;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the market” or through market makers or into an existing market for the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through the distribution of the common stock by the selling stockholder or its affiliates to their partners, members or stockholders;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short sales effected after the date the registration statement of which this prospectus is a part is declared effective by the SEC;</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agreements between broker-dealers and the selling stockholder to sell a specified number of such shares at a stipulated price per share;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225" w:lineRule="exact"/>
        <w:rPr>
          <w:sz w:val="20"/>
          <w:szCs w:val="20"/>
          <w:color w:val="auto"/>
        </w:rPr>
      </w:pPr>
    </w:p>
    <w:p>
      <w:pPr>
        <w:ind w:left="120" w:right="20" w:firstLine="991"/>
        <w:spacing w:after="0" w:line="273" w:lineRule="auto"/>
        <w:rPr>
          <w:sz w:val="20"/>
          <w:szCs w:val="20"/>
          <w:color w:val="auto"/>
        </w:rPr>
      </w:pPr>
      <w:r>
        <w:rPr>
          <w:rFonts w:ascii="Arial" w:cs="Arial" w:eastAsia="Arial" w:hAnsi="Arial"/>
          <w:sz w:val="17"/>
          <w:szCs w:val="17"/>
          <w:color w:val="auto"/>
        </w:rPr>
        <w:t>The selling stockholder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 or other applicable provision of the Securities Act amending the list of selling stockholder to include the pledgee, transferee or other successors in interest as selling stockholder under this prospectus. The selling stockholder also may transfer the shares of common stock in other circumstances, in which case the pledgees, transferees or other successors in interest will be the selling beneficial owners for purposes of this prospectus.</w:t>
      </w:r>
    </w:p>
    <w:p>
      <w:pPr>
        <w:spacing w:after="0" w:line="178" w:lineRule="exact"/>
        <w:rPr>
          <w:sz w:val="20"/>
          <w:szCs w:val="20"/>
          <w:color w:val="auto"/>
        </w:rPr>
      </w:pPr>
    </w:p>
    <w:p>
      <w:pPr>
        <w:ind w:left="120" w:right="100" w:firstLine="991"/>
        <w:spacing w:after="0" w:line="279" w:lineRule="auto"/>
        <w:rPr>
          <w:sz w:val="20"/>
          <w:szCs w:val="20"/>
          <w:color w:val="auto"/>
        </w:rPr>
      </w:pPr>
      <w:r>
        <w:rPr>
          <w:rFonts w:ascii="Arial" w:cs="Arial" w:eastAsia="Arial" w:hAnsi="Arial"/>
          <w:sz w:val="17"/>
          <w:szCs w:val="17"/>
          <w:color w:val="auto"/>
        </w:rPr>
        <w:t>In connection with the sale of our common stock or interests therein, the selling stockholder may enter into hedging transactions with broker-dealers or other financial institutions, which may in turn engage in short sales of the common stock in the course of hedging the positions they assume. The selling stockholder may also sell shares of our common stock short and deliver these securities to close out their short positions, or loan or pledge the common stock to broker-dealers that in turn may sell these securities. The selling stockholder may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also enter into options or other transactions with broker-dealers or other financial institutions or the creation of one or more derivative securities which require the delivery to each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65"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The aggregate proceeds to the selling stockholder from the sale of the common stock offered by them will be the purchase price of the common stock less discounts or commissions, if any. The selling stockholder reserves the right to accept and, together with its agents from time to time, to reject, in whole or in part, any proposed purchase of common stock to be made directly or through agents. We will not receive any of the proceeds from this offering.</w:t>
      </w:r>
    </w:p>
    <w:p>
      <w:pPr>
        <w:spacing w:after="0" w:line="187" w:lineRule="exact"/>
        <w:rPr>
          <w:sz w:val="20"/>
          <w:szCs w:val="20"/>
          <w:color w:val="auto"/>
        </w:rPr>
      </w:pPr>
    </w:p>
    <w:p>
      <w:pPr>
        <w:ind w:left="120" w:right="460" w:firstLine="991"/>
        <w:spacing w:after="0" w:line="277" w:lineRule="auto"/>
        <w:rPr>
          <w:sz w:val="20"/>
          <w:szCs w:val="20"/>
          <w:color w:val="auto"/>
        </w:rPr>
      </w:pPr>
      <w:r>
        <w:rPr>
          <w:rFonts w:ascii="Arial" w:cs="Arial" w:eastAsia="Arial" w:hAnsi="Arial"/>
          <w:sz w:val="18"/>
          <w:szCs w:val="18"/>
          <w:color w:val="auto"/>
        </w:rPr>
        <w:t>The selling stockholder also may resell all or a portion of the shares in open market transactions in reliance upon Rule 144 under the Securities Act of 1933, provided that they meet the criteria and conform to the requirements of that rule.</w:t>
      </w:r>
    </w:p>
    <w:p>
      <w:pPr>
        <w:spacing w:after="0" w:line="170" w:lineRule="exact"/>
        <w:rPr>
          <w:sz w:val="20"/>
          <w:szCs w:val="20"/>
          <w:color w:val="auto"/>
        </w:rPr>
      </w:pPr>
    </w:p>
    <w:p>
      <w:pPr>
        <w:ind w:left="120" w:right="80" w:firstLine="991"/>
        <w:spacing w:after="0" w:line="301" w:lineRule="auto"/>
        <w:rPr>
          <w:sz w:val="20"/>
          <w:szCs w:val="20"/>
          <w:color w:val="auto"/>
        </w:rPr>
      </w:pPr>
      <w:r>
        <w:rPr>
          <w:rFonts w:ascii="Arial" w:cs="Arial" w:eastAsia="Arial" w:hAnsi="Arial"/>
          <w:sz w:val="16"/>
          <w:szCs w:val="16"/>
          <w:color w:val="auto"/>
        </w:rPr>
        <w:t>The selling stockholder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 who are “underwriters” within the meaning of Section 2(11) of the Securities Act will be subject to the prospectus delivery requirements of the Securities Act.</w:t>
      </w:r>
    </w:p>
    <w:p>
      <w:pPr>
        <w:spacing w:after="0" w:line="157"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To the extent required, the shares of our common stock to be sold, the names of the selling stockholder,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87" w:lineRule="exact"/>
        <w:rPr>
          <w:sz w:val="20"/>
          <w:szCs w:val="20"/>
          <w:color w:val="auto"/>
        </w:rPr>
      </w:pPr>
    </w:p>
    <w:p>
      <w:pPr>
        <w:jc w:val="both"/>
        <w:ind w:left="120" w:right="40" w:firstLine="991"/>
        <w:spacing w:after="0" w:line="263"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84" w:lineRule="exact"/>
        <w:rPr>
          <w:sz w:val="20"/>
          <w:szCs w:val="20"/>
          <w:color w:val="auto"/>
        </w:rPr>
      </w:pPr>
    </w:p>
    <w:p>
      <w:pPr>
        <w:ind w:left="120" w:right="60" w:firstLine="991"/>
        <w:spacing w:after="0" w:line="275" w:lineRule="auto"/>
        <w:rPr>
          <w:sz w:val="20"/>
          <w:szCs w:val="20"/>
          <w:color w:val="auto"/>
        </w:rPr>
      </w:pPr>
      <w:r>
        <w:rPr>
          <w:rFonts w:ascii="Arial" w:cs="Arial" w:eastAsia="Arial" w:hAnsi="Arial"/>
          <w:sz w:val="17"/>
          <w:szCs w:val="17"/>
          <w:color w:val="auto"/>
        </w:rPr>
        <w:t>We have advised the selling stockholder that the anti-manipulation rules of Regulation M under the Exchange Act may apply to sales of shares in the market and to the activities of the selling stockholder and its affiliates. In addition, to the extent applicable we will make copies of this prospectus (as it may be supplemented or amended from time to time) available to the selling stockholder for the purpose of satisfying the prospectus delivery requirements of the Securities Act. The selling stockholder may indemnify any broker-dealer that participates in transactions involving the sale of the shares against certain liabilities, including liabilities arising under the Securities Act.</w:t>
      </w:r>
    </w:p>
    <w:p>
      <w:pPr>
        <w:spacing w:after="0" w:line="176" w:lineRule="exact"/>
        <w:rPr>
          <w:sz w:val="20"/>
          <w:szCs w:val="20"/>
          <w:color w:val="auto"/>
        </w:rPr>
      </w:pPr>
    </w:p>
    <w:p>
      <w:pPr>
        <w:ind w:left="120" w:right="260" w:firstLine="991"/>
        <w:spacing w:after="0" w:line="277" w:lineRule="auto"/>
        <w:rPr>
          <w:sz w:val="20"/>
          <w:szCs w:val="20"/>
          <w:color w:val="auto"/>
        </w:rPr>
      </w:pPr>
      <w:r>
        <w:rPr>
          <w:rFonts w:ascii="Arial" w:cs="Arial" w:eastAsia="Arial" w:hAnsi="Arial"/>
          <w:sz w:val="18"/>
          <w:szCs w:val="18"/>
          <w:color w:val="auto"/>
        </w:rPr>
        <w:t>We have agreed to indemnify the selling stockholder against liabilities, including liabilities under the Securities Act and state securities laws, relating to the registration of the shares offered by this prospectus.</w:t>
      </w:r>
    </w:p>
    <w:p>
      <w:pPr>
        <w:spacing w:after="0" w:line="170" w:lineRule="exact"/>
        <w:rPr>
          <w:sz w:val="20"/>
          <w:szCs w:val="20"/>
          <w:color w:val="auto"/>
        </w:rPr>
      </w:pPr>
    </w:p>
    <w:p>
      <w:pPr>
        <w:ind w:left="120" w:firstLine="991"/>
        <w:spacing w:after="0" w:line="286" w:lineRule="auto"/>
        <w:rPr>
          <w:sz w:val="20"/>
          <w:szCs w:val="20"/>
          <w:color w:val="auto"/>
        </w:rPr>
      </w:pPr>
      <w:r>
        <w:rPr>
          <w:rFonts w:ascii="Arial" w:cs="Arial" w:eastAsia="Arial" w:hAnsi="Arial"/>
          <w:sz w:val="17"/>
          <w:szCs w:val="17"/>
          <w:color w:val="auto"/>
        </w:rPr>
        <w:t>We have agreed with the selling stockholder to keep the registration statement of which this prospectus constitutes a part effective until the earlier of (1) such time as all of the shares covered by this prospectus have been disposed of pursuant to and in accordance with the registration statement or (2) the date on which all of the shares may be sold without restriction pursuant to Rule 144 of the Securities Act.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OUM &amp; Co. LLP, an independent registered public accounting firm, has audited our consolidated financial statements included in our Annual Report on Form 10-K for the year ended December 31, 2020, as set forth in their report, which is incorporated by reference in this prospectus and elsewhere in the registration statement. Our consolidated financial statements are incorporated by reference in reliance on OUM &amp; Co. LLP’s report, given on their authority as experts in accounting and auditing.</w:t>
      </w:r>
    </w:p>
    <w:p>
      <w:pPr>
        <w:spacing w:after="0" w:line="39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legality of the issuance of the securities being offered hereby is being passed upon by Gibson, Dunn &amp; Crutcher LLP, San Francisco, California.</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20"/>
          </w:cols>
          <w:pgMar w:left="320" w:top="459" w:right="7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SEC allows the Company to “incorporate by reference” the information that is filed by the Company with the SEC, which means that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can disclose important information to you by referring you to those documents. The documents incorporated by reference are:</w:t>
      </w:r>
    </w:p>
    <w:p>
      <w:pPr>
        <w:spacing w:after="0" w:line="116"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The Company’s Annual Report on </w:t>
      </w:r>
      <w:hyperlink r:id="rId41">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2020, which was filed with the SEC on February 24, 2021;</w:t>
      </w:r>
    </w:p>
    <w:p>
      <w:pPr>
        <w:spacing w:after="0" w:line="153" w:lineRule="exact"/>
        <w:rPr>
          <w:rFonts w:ascii="Arial" w:cs="Arial" w:eastAsia="Arial" w:hAnsi="Arial"/>
          <w:sz w:val="16"/>
          <w:szCs w:val="16"/>
          <w:color w:val="auto"/>
        </w:rPr>
      </w:pPr>
    </w:p>
    <w:p>
      <w:pPr>
        <w:ind w:left="1080" w:right="26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Company’s Quarterly Report on </w:t>
      </w:r>
      <w:hyperlink r:id="rId42">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three months ended March 31, 2021, which was filed with the SEC on May 10, 2021;</w:t>
      </w:r>
    </w:p>
    <w:p>
      <w:pPr>
        <w:spacing w:after="0" w:line="75" w:lineRule="exact"/>
        <w:rPr>
          <w:rFonts w:ascii="Arial" w:cs="Arial" w:eastAsia="Arial" w:hAnsi="Arial"/>
          <w:sz w:val="18"/>
          <w:szCs w:val="18"/>
          <w:color w:val="auto"/>
        </w:rPr>
      </w:pPr>
    </w:p>
    <w:p>
      <w:pPr>
        <w:jc w:val="both"/>
        <w:ind w:left="1080" w:right="140" w:hanging="532"/>
        <w:spacing w:after="0" w:line="286"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The information specifically incorporated by reference in the Company’s Annual Report on </w:t>
      </w:r>
      <w:hyperlink r:id="rId41">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2020, which was filed with the SEC on February 24, 2021, from the Company’s Definitive Proxy Statement on </w:t>
      </w:r>
      <w:hyperlink r:id="rId43">
        <w:r>
          <w:rPr>
            <w:rFonts w:ascii="Arial" w:cs="Arial" w:eastAsia="Arial" w:hAnsi="Arial"/>
            <w:sz w:val="17"/>
            <w:szCs w:val="17"/>
            <w:u w:val="single" w:color="auto"/>
            <w:color w:val="0000EE"/>
          </w:rPr>
          <w:t>Schedule 14A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relating to the Company’s 2021 Annual Meeting of Stockholders, which was filed with the SEC on April 22, 2021;</w:t>
      </w:r>
    </w:p>
    <w:p>
      <w:pPr>
        <w:spacing w:after="0" w:line="70" w:lineRule="exact"/>
        <w:rPr>
          <w:rFonts w:ascii="Arial" w:cs="Arial" w:eastAsia="Arial" w:hAnsi="Arial"/>
          <w:sz w:val="17"/>
          <w:szCs w:val="17"/>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Company’s Current Report on </w:t>
      </w:r>
      <w:hyperlink r:id="rId44">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May 25, 2021; and</w:t>
      </w:r>
    </w:p>
    <w:p>
      <w:pPr>
        <w:spacing w:after="0" w:line="130"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description of the Company’s common stock contained in </w:t>
      </w:r>
      <w:hyperlink r:id="rId45">
        <w:r>
          <w:rPr>
            <w:rFonts w:ascii="Arial" w:cs="Arial" w:eastAsia="Arial" w:hAnsi="Arial"/>
            <w:sz w:val="18"/>
            <w:szCs w:val="18"/>
            <w:u w:val="single" w:color="auto"/>
            <w:color w:val="0000EE"/>
          </w:rPr>
          <w:t>Amendment No. 3 to that certain registration statement on Form 8-A</w:t>
        </w:r>
      </w:hyperlink>
      <w:r>
        <w:rPr>
          <w:rFonts w:ascii="Arial" w:cs="Arial" w:eastAsia="Arial" w:hAnsi="Arial"/>
          <w:sz w:val="18"/>
          <w:szCs w:val="18"/>
          <w:color w:val="auto"/>
        </w:rPr>
        <w:t>, filed with the SEC on July 6, 2017 pursuant to Section 12 of the Exchange Act, including any amendment or report filed for the purpose of updating that description.</w:t>
      </w:r>
    </w:p>
    <w:p>
      <w:pPr>
        <w:spacing w:after="0" w:line="184" w:lineRule="exact"/>
        <w:rPr>
          <w:rFonts w:ascii="Arial" w:cs="Arial" w:eastAsia="Arial" w:hAnsi="Arial"/>
          <w:sz w:val="18"/>
          <w:szCs w:val="18"/>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All documents we file with the SEC pursuant to Sections 13(a), 13(c), 14 or 15(d) of the Exchange Act, other than any information furnished pursuant to Item 2.02, Item 7.01 or Item 9.01 of any Current Report on Form 8-K (unless we specifically state in such Current Report that such information is to be considered “filed” under the Exchange Act, or otherwise specifically incorporate the information by reference into this prospectus supplement or any other filing under the Securities Act or the Exchange Act), on or after the date of this prospectus until the earlier of the date on which all of the securities registered hereunder have been sold or the registration statement of which this prospectus is a part has been withdrawn, shall be deemed incorporated by reference in this prospectus and to be a part of this prospectus from the date of filing of those documents.</w:t>
      </w:r>
    </w:p>
    <w:p>
      <w:pPr>
        <w:spacing w:after="0" w:line="164" w:lineRule="exact"/>
        <w:rPr>
          <w:rFonts w:ascii="Arial" w:cs="Arial" w:eastAsia="Arial" w:hAnsi="Arial"/>
          <w:sz w:val="18"/>
          <w:szCs w:val="18"/>
          <w:color w:val="auto"/>
        </w:rPr>
      </w:pPr>
    </w:p>
    <w:p>
      <w:pPr>
        <w:ind w:left="120" w:firstLine="440"/>
        <w:spacing w:after="0" w:line="273"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prospectus, to the extent that a statement contained in or omitted from this prospectus,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 Except as set forth in the parenthetical in Item 4 above and the parenthetical in the immediately precedent paragraph, nothing in this prospectus shall be deemed to incorporate information furnished, but not filed, with the SEC pursuant to Item 2.02 or Item 7.01 of Form 8-K.</w:t>
      </w:r>
    </w:p>
    <w:p>
      <w:pPr>
        <w:spacing w:after="0" w:line="178" w:lineRule="exact"/>
        <w:rPr>
          <w:rFonts w:ascii="Arial" w:cs="Arial" w:eastAsia="Arial" w:hAnsi="Arial"/>
          <w:sz w:val="18"/>
          <w:szCs w:val="18"/>
          <w:color w:val="auto"/>
        </w:rPr>
      </w:pPr>
    </w:p>
    <w:p>
      <w:pPr>
        <w:jc w:val="both"/>
        <w:ind w:left="120" w:right="80" w:firstLine="440"/>
        <w:spacing w:after="0" w:line="287" w:lineRule="auto"/>
        <w:rPr>
          <w:sz w:val="20"/>
          <w:szCs w:val="20"/>
          <w:color w:val="auto"/>
        </w:rPr>
      </w:pPr>
      <w:r>
        <w:rPr>
          <w:rFonts w:ascii="Arial" w:cs="Arial" w:eastAsia="Arial" w:hAnsi="Arial"/>
          <w:sz w:val="16"/>
          <w:szCs w:val="16"/>
          <w:color w:val="auto"/>
        </w:rPr>
        <w:t>Upon written or oral request, we will provide, without charge, to each person, including any beneficial owner, to whom a copy of this prospectus is delivered, upon such person’s written or oral request, a copy of any and all of the information incorporated by reference in this prospectus, other than exhibits to such documents, unless such exhibits are specifically incorporated by reference into the information that this prospectus incorporates.</w:t>
      </w:r>
    </w:p>
    <w:p>
      <w:pPr>
        <w:spacing w:after="0" w:line="2" w:lineRule="exact"/>
        <w:rPr>
          <w:rFonts w:ascii="Arial" w:cs="Arial" w:eastAsia="Arial" w:hAnsi="Arial"/>
          <w:sz w:val="18"/>
          <w:szCs w:val="18"/>
          <w:color w:val="auto"/>
        </w:rPr>
      </w:pPr>
    </w:p>
    <w:p>
      <w:pPr>
        <w:jc w:val="both"/>
        <w:ind w:left="120" w:right="100"/>
        <w:spacing w:after="0" w:line="255" w:lineRule="auto"/>
        <w:rPr>
          <w:sz w:val="20"/>
          <w:szCs w:val="20"/>
          <w:color w:val="auto"/>
        </w:rPr>
      </w:pPr>
      <w:r>
        <w:rPr>
          <w:rFonts w:ascii="Arial" w:cs="Arial" w:eastAsia="Arial" w:hAnsi="Arial"/>
          <w:sz w:val="18"/>
          <w:szCs w:val="18"/>
          <w:color w:val="auto"/>
        </w:rPr>
        <w:t xml:space="preserve">Requests should be directed to the Secretary at Heron Therapeutics, Inc., 4242 Campus Point Court, Suite 200, San Diego, California 92121, telephone number (858) 251-4400. You may also find these documents in the “Investor Relations” section of our website, </w:t>
      </w:r>
      <w:r>
        <w:rPr>
          <w:rFonts w:ascii="Arial" w:cs="Arial" w:eastAsia="Arial" w:hAnsi="Arial"/>
          <w:sz w:val="18"/>
          <w:szCs w:val="18"/>
          <w:i w:val="1"/>
          <w:iCs w:val="1"/>
          <w:color w:val="auto"/>
        </w:rPr>
        <w:t>www.herontx.com</w:t>
      </w:r>
      <w:r>
        <w:rPr>
          <w:rFonts w:ascii="Arial" w:cs="Arial" w:eastAsia="Arial" w:hAnsi="Arial"/>
          <w:sz w:val="18"/>
          <w:szCs w:val="18"/>
          <w:color w:val="auto"/>
        </w:rPr>
        <w:t>. The information on our website is not incorporated into this prospectus.</w:t>
      </w:r>
    </w:p>
    <w:p>
      <w:pPr>
        <w:spacing w:after="0" w:line="122"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The Company is subject to the informational requirements of the Exchange Act, and in accordance therewith, files annual, quarterly and special reports, proxy statements and other information with the SEC. The Company’s filings with the SEC are also available to the public at the SEC’s Internet web site at </w:t>
      </w:r>
      <w:r>
        <w:rPr>
          <w:rFonts w:ascii="Arial" w:cs="Arial" w:eastAsia="Arial" w:hAnsi="Arial"/>
          <w:sz w:val="18"/>
          <w:szCs w:val="18"/>
          <w:i w:val="1"/>
          <w:iCs w:val="1"/>
          <w:color w:val="auto"/>
        </w:rPr>
        <w:t>http://www.sec.gov</w:t>
      </w:r>
      <w:r>
        <w:rPr>
          <w:rFonts w:ascii="Arial" w:cs="Arial" w:eastAsia="Arial" w:hAnsi="Arial"/>
          <w:sz w:val="18"/>
          <w:szCs w:val="18"/>
          <w:color w:val="auto"/>
        </w:rPr>
        <w:t>. Statements contained in this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following are the estimated expenses, other than the underwriting discounts and commissions, relating to the registration of the offer and sale of the securities registered hereunder on Form S-3:</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Fee—Securities and Exchange Commission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18,874</w:t>
            </w:r>
          </w:p>
        </w:tc>
        <w:tc>
          <w:tcPr>
            <w:tcW w:w="178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1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178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78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Printing Fees and Miscellaneous Expenses</w:t>
            </w:r>
          </w:p>
        </w:tc>
        <w:tc>
          <w:tcPr>
            <w:tcW w:w="1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26,126</w:t>
            </w:r>
          </w:p>
        </w:tc>
        <w:tc>
          <w:tcPr>
            <w:tcW w:w="178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1780" w:type="dxa"/>
            <w:vAlign w:val="bottom"/>
          </w:tcPr>
          <w:p>
            <w:pPr>
              <w:spacing w:after="0"/>
              <w:rPr>
                <w:sz w:val="18"/>
                <w:szCs w:val="18"/>
                <w:color w:val="auto"/>
              </w:rPr>
            </w:pPr>
          </w:p>
        </w:tc>
      </w:tr>
      <w:tr>
        <w:trPr>
          <w:trHeight w:val="176"/>
        </w:trPr>
        <w:tc>
          <w:tcPr>
            <w:tcW w:w="1760" w:type="dxa"/>
            <w:vAlign w:val="bottom"/>
            <w:tcBorders>
              <w:bottom w:val="single" w:sz="8" w:color="auto"/>
            </w:tcBorders>
          </w:tcPr>
          <w:p>
            <w:pPr>
              <w:spacing w:after="0"/>
              <w:rPr>
                <w:sz w:val="15"/>
                <w:szCs w:val="15"/>
                <w:color w:val="auto"/>
              </w:rPr>
            </w:pPr>
          </w:p>
        </w:tc>
        <w:tc>
          <w:tcPr>
            <w:tcW w:w="5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Section 145(a) of the Delaware General Corporation Law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9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Section 145(b) of the Delaware General Corporation Law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which the Court of Chancery or other adjudicating court shall deem proper.</w:t>
      </w:r>
    </w:p>
    <w:p>
      <w:pPr>
        <w:spacing w:after="0" w:line="185"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Section 145(g) of the Delaware General Corporation Law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Delaware General Corporation Law.</w:t>
      </w:r>
    </w:p>
    <w:p>
      <w:pPr>
        <w:spacing w:after="0" w:line="176"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Company’s certificate of incorporation provides that, to the extent permitted by applicable law, the Company’s directors shall not be personally liable to the Company or its stockholders for monetary damages for any breach of fiduciary duty as directors of the Company. The Company’s certificate of incorporation eliminates the personal liability of directors to the fullest extent permitted by the Delaware General Corporation Law and, together with the Company’s bylaws, provides that the Company shall fully indemnify any person who was or is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a party or is threatened to be made a party to any threatened, pending or completed action, suit, arbitration, alternate dispute resolution mechanism, inquiry, investigation, administrative hearing or other proceeding (whether civil, criminal, administrative, arbitrative or investigative) by reason of the fact that such person is or was a director or officer of the Company, or is or was serving at the request of the Company as a director or officer of another corporation, partnership, limited liability company, joint venture, trust, employee benefit plan, foundation, association, organization or other legal entity, against expenses (including attorneys’ fees), judgments, damages, liabilities, losses, penalties, excise taxes, fines and amounts paid in settlement actually and reasonably incurred by such person in connection with such action, suit, arbitration, alternate dispute resolution mechanism, inquiry, investigation, administrative hearing or other proceeding.</w:t>
      </w:r>
    </w:p>
    <w:p>
      <w:pPr>
        <w:spacing w:after="0" w:line="17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Company has also entered into agreements to indemnify its directors and certain officers in addition to the indemnification provided for in the Company’s certificate of incorporation and bylaws. These agreements, among other things, indemnify the Company’s directors and certain of its officers for certain expenses (including attorneys’ fees), judgments, fines and settlement amounts incurred by such person in any action or proceeding, including any action by or in the right of the Company, on account of services as a director or officer of the Company or as a director or officer, of any subsidiary of the Company, or as a director or officer of any other company or enterprise that the person provides services to at the request of the Company. We also maintain an insurance policy that covers certain liabilities of directors and officers of our Company arising out of claims based on acts or omissions in their capacities as directors or officers.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 Index.</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documents are filed herewith (unless otherwise indicated) and made a part of this registration statement.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No.</w:t>
            </w: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0" w:type="dxa"/>
            <w:vAlign w:val="bottom"/>
            <w:gridSpan w:val="12"/>
          </w:tcPr>
          <w:p>
            <w:pPr>
              <w:ind w:left="420"/>
              <w:spacing w:after="0"/>
              <w:rPr>
                <w:sz w:val="20"/>
                <w:szCs w:val="20"/>
                <w:color w:val="auto"/>
              </w:rPr>
            </w:pPr>
            <w:r>
              <w:rPr>
                <w:rFonts w:ascii="Arial" w:cs="Arial" w:eastAsia="Arial" w:hAnsi="Arial"/>
                <w:sz w:val="14"/>
                <w:szCs w:val="14"/>
                <w:b w:val="1"/>
                <w:bCs w:val="1"/>
                <w:color w:val="auto"/>
              </w:rPr>
              <w:t>Description</w:t>
            </w:r>
          </w:p>
        </w:tc>
      </w:tr>
      <w:tr>
        <w:trPr>
          <w:trHeight w:val="277"/>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9660" w:type="dxa"/>
            <w:vAlign w:val="bottom"/>
            <w:tcBorders>
              <w:bottom w:val="single" w:sz="8" w:color="0000EE"/>
            </w:tcBorders>
            <w:gridSpan w:val="14"/>
          </w:tcPr>
          <w:p>
            <w:pPr>
              <w:spacing w:after="0"/>
              <w:rPr>
                <w:rFonts w:ascii="Arial" w:cs="Arial" w:eastAsia="Arial" w:hAnsi="Arial"/>
                <w:sz w:val="18"/>
                <w:szCs w:val="18"/>
                <w:color w:val="0000EE"/>
                <w:w w:val="92"/>
              </w:rPr>
            </w:pPr>
            <w:hyperlink r:id="rId49">
              <w:r>
                <w:rPr>
                  <w:rFonts w:ascii="Arial" w:cs="Arial" w:eastAsia="Arial" w:hAnsi="Arial"/>
                  <w:sz w:val="18"/>
                  <w:szCs w:val="18"/>
                  <w:color w:val="0000EE"/>
                  <w:w w:val="92"/>
                </w:rPr>
                <w:t>Certificate of Incorporation, as amended through July 29, 2009 (previously filed with the Company’s Quarterly Report on Form 10-Q</w:t>
              </w:r>
            </w:hyperlink>
          </w:p>
        </w:tc>
        <w:tc>
          <w:tcPr>
            <w:tcW w:w="360" w:type="dxa"/>
            <w:vAlign w:val="bottom"/>
            <w:gridSpan w:val="4"/>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filed August 4, 2009 and incorporated herein by reference)</w:t>
              </w:r>
            </w:hyperlink>
          </w:p>
        </w:tc>
      </w:tr>
      <w:tr>
        <w:trPr>
          <w:trHeight w:val="20"/>
        </w:trPr>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9560" w:type="dxa"/>
            <w:vAlign w:val="bottom"/>
            <w:tcBorders>
              <w:bottom w:val="single" w:sz="8" w:color="0000EE"/>
            </w:tcBorders>
            <w:gridSpan w:val="13"/>
          </w:tcPr>
          <w:p>
            <w:pPr>
              <w:spacing w:after="0"/>
              <w:rPr>
                <w:rFonts w:ascii="Arial" w:cs="Arial" w:eastAsia="Arial" w:hAnsi="Arial"/>
                <w:sz w:val="18"/>
                <w:szCs w:val="18"/>
                <w:color w:val="0000EE"/>
                <w:w w:val="92"/>
              </w:rPr>
            </w:pPr>
            <w:hyperlink r:id="rId50">
              <w:r>
                <w:rPr>
                  <w:rFonts w:ascii="Arial" w:cs="Arial" w:eastAsia="Arial" w:hAnsi="Arial"/>
                  <w:sz w:val="18"/>
                  <w:szCs w:val="18"/>
                  <w:color w:val="0000EE"/>
                  <w:w w:val="92"/>
                </w:rPr>
                <w:t>Certificate of Amendment of Certificate of Incorporation, dated June 29, 2011 and effective June 30, 2011 (previously filed with the</w:t>
              </w:r>
            </w:hyperlink>
          </w:p>
        </w:tc>
        <w:tc>
          <w:tcPr>
            <w:tcW w:w="460" w:type="dxa"/>
            <w:vAlign w:val="bottom"/>
            <w:gridSpan w:val="5"/>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Company’s Current Report on Form 8-K filed on June 30, 2011 and incorporated herein by reference)</w:t>
              </w:r>
            </w:hyperlink>
          </w:p>
        </w:tc>
      </w:tr>
      <w:tr>
        <w:trPr>
          <w:trHeight w:val="20"/>
        </w:trPr>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24"/>
                <w:szCs w:val="24"/>
                <w:color w:val="auto"/>
              </w:rPr>
            </w:pPr>
          </w:p>
        </w:tc>
        <w:tc>
          <w:tcPr>
            <w:tcW w:w="10020" w:type="dxa"/>
            <w:vAlign w:val="bottom"/>
            <w:gridSpan w:val="18"/>
          </w:tcPr>
          <w:p>
            <w:pPr>
              <w:spacing w:after="0"/>
              <w:rPr>
                <w:rFonts w:ascii="Arial" w:cs="Arial" w:eastAsia="Arial" w:hAnsi="Arial"/>
                <w:sz w:val="18"/>
                <w:szCs w:val="18"/>
                <w:color w:val="0000EE"/>
                <w:w w:val="92"/>
              </w:rPr>
            </w:pPr>
            <w:hyperlink r:id="rId51">
              <w:r>
                <w:rPr>
                  <w:rFonts w:ascii="Arial" w:cs="Arial" w:eastAsia="Arial" w:hAnsi="Arial"/>
                  <w:sz w:val="18"/>
                  <w:szCs w:val="18"/>
                  <w:color w:val="0000EE"/>
                  <w:w w:val="92"/>
                </w:rPr>
                <w:t>Certificate of Amendment to the Certificate of Incorporation, dated January 9, 2014 and effective January 13, 2014 (previously filed with</w:t>
              </w:r>
            </w:hyperlink>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the Company’s Current Report on Form 8-K filed January 13, 2014 and incorporated herein by reference)</w:t>
              </w:r>
            </w:hyperlink>
          </w:p>
        </w:tc>
        <w:tc>
          <w:tcPr>
            <w:tcW w:w="2320" w:type="dxa"/>
            <w:vAlign w:val="bottom"/>
            <w:tcBorders>
              <w:top w:val="single" w:sz="8" w:color="0000EE"/>
            </w:tcBorders>
            <w:gridSpan w:val="5"/>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660" w:type="dxa"/>
            <w:vAlign w:val="bottom"/>
          </w:tcPr>
          <w:p>
            <w:pPr>
              <w:spacing w:after="0"/>
              <w:rPr>
                <w:sz w:val="24"/>
                <w:szCs w:val="24"/>
                <w:color w:val="auto"/>
              </w:rPr>
            </w:pPr>
          </w:p>
        </w:tc>
        <w:tc>
          <w:tcPr>
            <w:tcW w:w="10020" w:type="dxa"/>
            <w:vAlign w:val="bottom"/>
            <w:gridSpan w:val="18"/>
          </w:tcPr>
          <w:p>
            <w:pPr>
              <w:spacing w:after="0"/>
              <w:rPr>
                <w:rFonts w:ascii="Arial" w:cs="Arial" w:eastAsia="Arial" w:hAnsi="Arial"/>
                <w:sz w:val="18"/>
                <w:szCs w:val="18"/>
                <w:color w:val="0000EE"/>
                <w:w w:val="93"/>
              </w:rPr>
            </w:pPr>
            <w:hyperlink r:id="rId52">
              <w:r>
                <w:rPr>
                  <w:rFonts w:ascii="Arial" w:cs="Arial" w:eastAsia="Arial" w:hAnsi="Arial"/>
                  <w:sz w:val="18"/>
                  <w:szCs w:val="18"/>
                  <w:color w:val="0000EE"/>
                  <w:w w:val="93"/>
                </w:rPr>
                <w:t>Certificate of Amendment to the Certificate of Incorporation, dated June 12, 2017 and effective June 13, 2017 (previously filed with the</w:t>
              </w:r>
            </w:hyperlink>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3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Company’s Post-Effective Amendment to its Registration Statement on Form 8-A/A filed July 6, 2017 and incorporated herein by</w:t>
              </w:r>
            </w:hyperlink>
          </w:p>
        </w:tc>
        <w:tc>
          <w:tcPr>
            <w:tcW w:w="460" w:type="dxa"/>
            <w:vAlign w:val="bottom"/>
            <w:tcBorders>
              <w:top w:val="single" w:sz="8" w:color="0000EE"/>
            </w:tcBorders>
            <w:gridSpan w:val="3"/>
          </w:tcPr>
          <w:p>
            <w:pPr>
              <w:spacing w:after="0"/>
              <w:rPr>
                <w:sz w:val="17"/>
                <w:szCs w:val="17"/>
                <w:color w:val="auto"/>
              </w:rPr>
            </w:pPr>
          </w:p>
        </w:tc>
        <w:tc>
          <w:tcPr>
            <w:tcW w:w="200" w:type="dxa"/>
            <w:vAlign w:val="bottom"/>
            <w:gridSpan w:val="3"/>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reference)</w:t>
              </w:r>
            </w:hyperlink>
          </w:p>
        </w:tc>
      </w:tr>
      <w:tr>
        <w:trPr>
          <w:trHeight w:val="20"/>
        </w:trPr>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660" w:type="dxa"/>
            <w:vAlign w:val="bottom"/>
          </w:tcPr>
          <w:p>
            <w:pPr>
              <w:spacing w:after="0"/>
              <w:rPr>
                <w:sz w:val="24"/>
                <w:szCs w:val="24"/>
                <w:color w:val="auto"/>
              </w:rPr>
            </w:pPr>
          </w:p>
        </w:tc>
        <w:tc>
          <w:tcPr>
            <w:tcW w:w="10020" w:type="dxa"/>
            <w:vAlign w:val="bottom"/>
            <w:gridSpan w:val="18"/>
          </w:tcPr>
          <w:p>
            <w:pPr>
              <w:spacing w:after="0"/>
              <w:rPr>
                <w:rFonts w:ascii="Arial" w:cs="Arial" w:eastAsia="Arial" w:hAnsi="Arial"/>
                <w:sz w:val="18"/>
                <w:szCs w:val="18"/>
                <w:color w:val="0000EE"/>
                <w:w w:val="93"/>
              </w:rPr>
            </w:pPr>
            <w:hyperlink r:id="rId53">
              <w:r>
                <w:rPr>
                  <w:rFonts w:ascii="Arial" w:cs="Arial" w:eastAsia="Arial" w:hAnsi="Arial"/>
                  <w:sz w:val="18"/>
                  <w:szCs w:val="18"/>
                  <w:color w:val="0000EE"/>
                  <w:w w:val="93"/>
                </w:rPr>
                <w:t>Certificate of Amendment to the Certificate of Incorporation, dated June 18, 2018 and effective June 19, 2018 (previously filed with the</w:t>
              </w:r>
            </w:hyperlink>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Company’s Annual Report on Form 10-K filed February 22, 2019 and incorporated herein by reference)</w:t>
              </w:r>
            </w:hyperlink>
          </w:p>
        </w:tc>
        <w:tc>
          <w:tcPr>
            <w:tcW w:w="2320" w:type="dxa"/>
            <w:vAlign w:val="bottom"/>
            <w:tcBorders>
              <w:top w:val="single" w:sz="8" w:color="0000EE"/>
            </w:tcBorders>
            <w:gridSpan w:val="5"/>
          </w:tcPr>
          <w:p>
            <w:pPr>
              <w:spacing w:after="0"/>
              <w:rPr>
                <w:sz w:val="17"/>
                <w:szCs w:val="17"/>
                <w:color w:val="auto"/>
              </w:rPr>
            </w:pPr>
          </w:p>
        </w:tc>
        <w:tc>
          <w:tcPr>
            <w:tcW w:w="200" w:type="dxa"/>
            <w:vAlign w:val="bottom"/>
            <w:gridSpan w:val="3"/>
          </w:tcPr>
          <w:p>
            <w:pPr>
              <w:spacing w:after="0"/>
              <w:rPr>
                <w:sz w:val="17"/>
                <w:szCs w:val="17"/>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660" w:type="dxa"/>
            <w:vAlign w:val="bottom"/>
          </w:tcPr>
          <w:p>
            <w:pPr>
              <w:spacing w:after="0"/>
              <w:rPr>
                <w:sz w:val="24"/>
                <w:szCs w:val="24"/>
                <w:color w:val="auto"/>
              </w:rPr>
            </w:pPr>
          </w:p>
        </w:tc>
        <w:tc>
          <w:tcPr>
            <w:tcW w:w="10020" w:type="dxa"/>
            <w:vAlign w:val="bottom"/>
            <w:gridSpan w:val="18"/>
          </w:tcPr>
          <w:p>
            <w:pPr>
              <w:spacing w:after="0"/>
              <w:rPr>
                <w:rFonts w:ascii="Arial" w:cs="Arial" w:eastAsia="Arial" w:hAnsi="Arial"/>
                <w:sz w:val="18"/>
                <w:szCs w:val="18"/>
                <w:color w:val="0000EE"/>
                <w:w w:val="91"/>
              </w:rPr>
            </w:pPr>
            <w:hyperlink r:id="rId54">
              <w:r>
                <w:rPr>
                  <w:rFonts w:ascii="Arial" w:cs="Arial" w:eastAsia="Arial" w:hAnsi="Arial"/>
                  <w:sz w:val="18"/>
                  <w:szCs w:val="18"/>
                  <w:color w:val="0000EE"/>
                  <w:w w:val="91"/>
                </w:rPr>
                <w:t>Amended and Restated Bylaws (previously filed with the Company’s Current Report on Form 8-K filed February 8, 2019 and incorporated</w:t>
              </w:r>
            </w:hyperlink>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herein by reference)</w:t>
              </w:r>
            </w:hyperlink>
          </w:p>
        </w:tc>
        <w:tc>
          <w:tcPr>
            <w:tcW w:w="2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10020" w:type="dxa"/>
            <w:vAlign w:val="bottom"/>
            <w:gridSpan w:val="18"/>
          </w:tcPr>
          <w:p>
            <w:pPr>
              <w:spacing w:after="0"/>
              <w:rPr>
                <w:rFonts w:ascii="Arial" w:cs="Arial" w:eastAsia="Arial" w:hAnsi="Arial"/>
                <w:sz w:val="18"/>
                <w:szCs w:val="18"/>
                <w:color w:val="0000EE"/>
                <w:w w:val="94"/>
              </w:rPr>
            </w:pPr>
            <w:hyperlink r:id="rId55">
              <w:r>
                <w:rPr>
                  <w:rFonts w:ascii="Arial" w:cs="Arial" w:eastAsia="Arial" w:hAnsi="Arial"/>
                  <w:sz w:val="18"/>
                  <w:szCs w:val="18"/>
                  <w:color w:val="0000EE"/>
                  <w:w w:val="94"/>
                </w:rPr>
                <w:t>Copy of Specimen Common Stock Certificate (previously filed with the Company’s Registration Statement on Form S-3 (Registration</w:t>
              </w:r>
            </w:hyperlink>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No. 333-162968) and incorporated herein by reference)</w:t>
              </w:r>
            </w:hyperlink>
          </w:p>
        </w:tc>
        <w:tc>
          <w:tcPr>
            <w:tcW w:w="360" w:type="dxa"/>
            <w:vAlign w:val="bottom"/>
            <w:gridSpan w:val="4"/>
          </w:tcPr>
          <w:p>
            <w:pPr>
              <w:spacing w:after="0"/>
              <w:rPr>
                <w:sz w:val="17"/>
                <w:szCs w:val="17"/>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24"/>
                <w:szCs w:val="24"/>
                <w:color w:val="auto"/>
              </w:rPr>
            </w:pPr>
          </w:p>
        </w:tc>
        <w:tc>
          <w:tcPr>
            <w:tcW w:w="30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Opinion of Gibson, Dunn &amp; Crutcher LLP</w:t>
              </w:r>
            </w:hyperlink>
          </w:p>
        </w:tc>
        <w:tc>
          <w:tcPr>
            <w:tcW w:w="920" w:type="dxa"/>
            <w:vAlign w:val="bottom"/>
            <w:tcBorders>
              <w:top w:val="single" w:sz="8" w:color="0000EE"/>
            </w:tcBorders>
            <w:gridSpan w:val="2"/>
          </w:tcPr>
          <w:p>
            <w:pPr>
              <w:spacing w:after="0"/>
              <w:rPr>
                <w:sz w:val="24"/>
                <w:szCs w:val="24"/>
                <w:color w:val="auto"/>
              </w:rPr>
            </w:pPr>
          </w:p>
        </w:tc>
        <w:tc>
          <w:tcPr>
            <w:tcW w:w="6040" w:type="dxa"/>
            <w:vAlign w:val="bottom"/>
            <w:gridSpan w:val="13"/>
          </w:tcPr>
          <w:p>
            <w:pPr>
              <w:spacing w:after="0"/>
              <w:rPr>
                <w:sz w:val="24"/>
                <w:szCs w:val="24"/>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23.1</w:t>
            </w:r>
          </w:p>
        </w:tc>
        <w:tc>
          <w:tcPr>
            <w:tcW w:w="660" w:type="dxa"/>
            <w:vAlign w:val="bottom"/>
          </w:tcPr>
          <w:p>
            <w:pPr>
              <w:spacing w:after="0"/>
              <w:rPr>
                <w:sz w:val="24"/>
                <w:szCs w:val="24"/>
                <w:color w:val="auto"/>
              </w:rPr>
            </w:pPr>
          </w:p>
        </w:tc>
        <w:tc>
          <w:tcPr>
            <w:tcW w:w="66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Consent of OUM &amp; Co. LLP, the Company’s independent registered public accounting firm</w:t>
              </w:r>
            </w:hyperlink>
          </w:p>
        </w:tc>
        <w:tc>
          <w:tcPr>
            <w:tcW w:w="3400" w:type="dxa"/>
            <w:vAlign w:val="bottom"/>
            <w:gridSpan w:val="10"/>
          </w:tcPr>
          <w:p>
            <w:pPr>
              <w:spacing w:after="0"/>
              <w:rPr>
                <w:sz w:val="24"/>
                <w:szCs w:val="24"/>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23.2</w:t>
            </w:r>
          </w:p>
        </w:tc>
        <w:tc>
          <w:tcPr>
            <w:tcW w:w="660" w:type="dxa"/>
            <w:vAlign w:val="bottom"/>
          </w:tcPr>
          <w:p>
            <w:pPr>
              <w:spacing w:after="0"/>
              <w:rPr>
                <w:sz w:val="24"/>
                <w:szCs w:val="24"/>
                <w:color w:val="auto"/>
              </w:rPr>
            </w:pPr>
          </w:p>
        </w:tc>
        <w:tc>
          <w:tcPr>
            <w:tcW w:w="644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Consent of Gibson, Dunn &amp; Crutcher LLP (included in legal opinion filed as Exhibit 5.1)</w:t>
              </w:r>
            </w:hyperlink>
          </w:p>
        </w:tc>
        <w:tc>
          <w:tcPr>
            <w:tcW w:w="3580" w:type="dxa"/>
            <w:vAlign w:val="bottom"/>
            <w:gridSpan w:val="11"/>
          </w:tcPr>
          <w:p>
            <w:pPr>
              <w:spacing w:after="0"/>
              <w:rPr>
                <w:sz w:val="24"/>
                <w:szCs w:val="24"/>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24.1</w:t>
            </w:r>
          </w:p>
        </w:tc>
        <w:tc>
          <w:tcPr>
            <w:tcW w:w="660" w:type="dxa"/>
            <w:vAlign w:val="bottom"/>
          </w:tcPr>
          <w:p>
            <w:pPr>
              <w:spacing w:after="0"/>
              <w:rPr>
                <w:sz w:val="24"/>
                <w:szCs w:val="24"/>
                <w:color w:val="auto"/>
              </w:rPr>
            </w:pPr>
          </w:p>
        </w:tc>
        <w:tc>
          <w:tcPr>
            <w:tcW w:w="10020" w:type="dxa"/>
            <w:vAlign w:val="bottom"/>
            <w:gridSpan w:val="1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Power of Attorney (included on signature page)</w:t>
              </w:r>
            </w:hyperlink>
          </w:p>
        </w:tc>
      </w:tr>
      <w:tr>
        <w:trPr>
          <w:trHeight w:val="196"/>
        </w:trPr>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20" w:type="dxa"/>
            <w:vAlign w:val="bottom"/>
            <w:tcBorders>
              <w:top w:val="single" w:sz="8" w:color="0000EE"/>
              <w:bottom w:val="single" w:sz="8" w:color="auto"/>
            </w:tcBorders>
          </w:tcPr>
          <w:p>
            <w:pPr>
              <w:spacing w:after="0"/>
              <w:rPr>
                <w:sz w:val="17"/>
                <w:szCs w:val="17"/>
                <w:color w:val="auto"/>
              </w:rPr>
            </w:pPr>
          </w:p>
        </w:tc>
        <w:tc>
          <w:tcPr>
            <w:tcW w:w="720" w:type="dxa"/>
            <w:vAlign w:val="bottom"/>
            <w:tcBorders>
              <w:top w:val="single" w:sz="8" w:color="0000EE"/>
              <w:bottom w:val="single" w:sz="8" w:color="auto"/>
            </w:tcBorders>
          </w:tcPr>
          <w:p>
            <w:pPr>
              <w:spacing w:after="0"/>
              <w:rPr>
                <w:sz w:val="17"/>
                <w:szCs w:val="17"/>
                <w:color w:val="auto"/>
              </w:rPr>
            </w:pPr>
          </w:p>
        </w:tc>
        <w:tc>
          <w:tcPr>
            <w:tcW w:w="1620" w:type="dxa"/>
            <w:vAlign w:val="bottom"/>
            <w:tcBorders>
              <w:top w:val="single" w:sz="8" w:color="0000EE"/>
              <w:bottom w:val="single" w:sz="8" w:color="auto"/>
            </w:tcBorders>
          </w:tcPr>
          <w:p>
            <w:pPr>
              <w:spacing w:after="0"/>
              <w:rPr>
                <w:sz w:val="17"/>
                <w:szCs w:val="17"/>
                <w:color w:val="auto"/>
              </w:rPr>
            </w:pPr>
          </w:p>
        </w:tc>
        <w:tc>
          <w:tcPr>
            <w:tcW w:w="380" w:type="dxa"/>
            <w:vAlign w:val="bottom"/>
            <w:tcBorders>
              <w:top w:val="single" w:sz="8" w:color="0000EE"/>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080" w:hanging="532"/>
        <w:spacing w:after="0" w:line="272" w:lineRule="auto"/>
        <w:tabs>
          <w:tab w:leader="none" w:pos="10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82" w:lineRule="exact"/>
        <w:rPr>
          <w:rFonts w:ascii="Arial" w:cs="Arial" w:eastAsia="Arial" w:hAnsi="Arial"/>
          <w:sz w:val="17"/>
          <w:szCs w:val="17"/>
          <w:color w:val="auto"/>
        </w:rPr>
      </w:pPr>
    </w:p>
    <w:p>
      <w:pPr>
        <w:ind w:left="1080" w:right="300" w:hanging="532"/>
        <w:spacing w:after="0" w:line="277"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right="340"/>
        <w:spacing w:after="0" w:line="291"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paragraphs (1)(i), (1)(ii) and (1)(iii) of this section do not apply if the information required to be included in a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by those paragraphs is contained in reports filed with or furnished to the Commission by the registrant pursuant to Section 13 or</w:t>
      </w:r>
    </w:p>
    <w:p>
      <w:pPr>
        <w:ind w:left="120" w:right="80"/>
        <w:spacing w:after="0" w:line="260" w:lineRule="auto"/>
        <w:rPr>
          <w:sz w:val="20"/>
          <w:szCs w:val="20"/>
          <w:color w:val="auto"/>
        </w:rPr>
      </w:pPr>
      <w:r>
        <w:rPr>
          <w:rFonts w:ascii="Arial" w:cs="Arial" w:eastAsia="Arial" w:hAnsi="Arial"/>
          <w:sz w:val="18"/>
          <w:szCs w:val="18"/>
          <w:color w:val="auto"/>
        </w:rPr>
        <w:t>Section 15(d) of the Exchange Act that are incorporated by reference in the registration statement, or is contained in a form of prospectus filed pursuant to Rule 424(b) under the Securities Act that is part of the registration statement.</w:t>
      </w:r>
    </w:p>
    <w:p>
      <w:pPr>
        <w:spacing w:after="0" w:line="91" w:lineRule="exact"/>
        <w:rPr>
          <w:sz w:val="20"/>
          <w:szCs w:val="20"/>
          <w:color w:val="auto"/>
        </w:rPr>
      </w:pPr>
    </w:p>
    <w:p>
      <w:pPr>
        <w:ind w:left="540" w:right="20" w:hanging="424"/>
        <w:spacing w:after="0" w:line="263"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89" w:lineRule="exact"/>
        <w:rPr>
          <w:rFonts w:ascii="Arial" w:cs="Arial" w:eastAsia="Arial" w:hAnsi="Arial"/>
          <w:sz w:val="18"/>
          <w:szCs w:val="18"/>
          <w:color w:val="auto"/>
        </w:rPr>
      </w:pPr>
    </w:p>
    <w:p>
      <w:pPr>
        <w:ind w:left="540" w:right="20" w:hanging="424"/>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the registrant is relying on Rule 430B under the Securities Act:</w:t>
      </w:r>
    </w:p>
    <w:p>
      <w:pPr>
        <w:spacing w:after="0" w:line="130" w:lineRule="exact"/>
        <w:rPr>
          <w:rFonts w:ascii="Arial" w:cs="Arial" w:eastAsia="Arial" w:hAnsi="Arial"/>
          <w:sz w:val="18"/>
          <w:szCs w:val="18"/>
          <w:color w:val="auto"/>
        </w:rPr>
      </w:pPr>
    </w:p>
    <w:p>
      <w:pPr>
        <w:ind w:left="1540" w:right="220" w:hanging="439"/>
        <w:spacing w:after="0" w:line="277" w:lineRule="auto"/>
        <w:tabs>
          <w:tab w:leader="none" w:pos="1540" w:val="left"/>
        </w:tabs>
        <w:numPr>
          <w:ilvl w:val="2"/>
          <w:numId w:val="1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this registration statement; and</w:t>
      </w:r>
    </w:p>
    <w:p>
      <w:pPr>
        <w:spacing w:after="0" w:line="75" w:lineRule="exact"/>
        <w:rPr>
          <w:rFonts w:ascii="Arial" w:cs="Arial" w:eastAsia="Arial" w:hAnsi="Arial"/>
          <w:sz w:val="18"/>
          <w:szCs w:val="18"/>
          <w:color w:val="auto"/>
        </w:rPr>
      </w:pPr>
    </w:p>
    <w:p>
      <w:pPr>
        <w:ind w:left="1540" w:hanging="439"/>
        <w:spacing w:after="0" w:line="269" w:lineRule="auto"/>
        <w:tabs>
          <w:tab w:leader="none" w:pos="1540" w:val="left"/>
        </w:tabs>
        <w:numPr>
          <w:ilvl w:val="2"/>
          <w:numId w:val="12"/>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 xml:space="preserve">bona fide </w:t>
      </w:r>
      <w:r>
        <w:rPr>
          <w:rFonts w:ascii="Arial" w:cs="Arial" w:eastAsia="Arial" w:hAnsi="Arial"/>
          <w:sz w:val="17"/>
          <w:szCs w:val="17"/>
          <w:color w:val="auto"/>
        </w:rPr>
        <w:t>offering thereof.</w:t>
      </w:r>
      <w:r>
        <w:rPr>
          <w:rFonts w:ascii="Arial" w:cs="Arial" w:eastAsia="Arial" w:hAnsi="Arial"/>
          <w:sz w:val="17"/>
          <w:szCs w:val="17"/>
          <w:i w:val="1"/>
          <w:iCs w:val="1"/>
          <w:color w:val="auto"/>
        </w:rPr>
        <w:t xml:space="preserve"> Provided, however</w:t>
      </w:r>
      <w:r>
        <w:rPr>
          <w:rFonts w:ascii="Arial" w:cs="Arial" w:eastAsia="Arial" w:hAnsi="Arial"/>
          <w:sz w:val="17"/>
          <w:szCs w:val="17"/>
          <w:color w:val="auto"/>
        </w:rPr>
        <w:t>, that no statement made in a registration statement or prospectus that is part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this registration statement or made in any such document immediately prior to such effective date.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w:t>
      </w:r>
    </w:p>
    <w:p>
      <w:pPr>
        <w:spacing w:after="0" w:line="248"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2"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53" w:lineRule="exact"/>
        <w:rPr>
          <w:rFonts w:ascii="Arial" w:cs="Arial" w:eastAsia="Arial" w:hAnsi="Arial"/>
          <w:sz w:val="16"/>
          <w:szCs w:val="16"/>
          <w:color w:val="auto"/>
        </w:rPr>
      </w:pPr>
    </w:p>
    <w:p>
      <w:pPr>
        <w:ind w:left="1080" w:right="36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as amended,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left="120" w:right="40" w:firstLine="436"/>
        <w:spacing w:after="0" w:line="311" w:lineRule="auto"/>
        <w:tabs>
          <w:tab w:leader="none" w:pos="8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under the Securities Act and contained in a form of prospectus filed by the registrant pursuant to Rule 424(b)(1) or (4) or 497(h) under the Securities Act shall be deemed to be part of this registration statement as of the time it was declared effective.</w:t>
      </w:r>
    </w:p>
    <w:p>
      <w:pPr>
        <w:spacing w:after="0" w:line="148" w:lineRule="exact"/>
        <w:rPr>
          <w:rFonts w:ascii="Arial" w:cs="Arial" w:eastAsia="Arial" w:hAnsi="Arial"/>
          <w:sz w:val="16"/>
          <w:szCs w:val="16"/>
          <w:color w:val="auto"/>
        </w:rPr>
      </w:pPr>
    </w:p>
    <w:p>
      <w:pPr>
        <w:jc w:val="both"/>
        <w:ind w:left="120" w:right="100" w:firstLine="436"/>
        <w:spacing w:after="0" w:line="263"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Company certifies that it has reasonable grounds to believe that it meets all of the requirements for filing on Form S-3 and has duly caused this registration statement to be signed on its behalf by the undersigned, thereunto duly authorized, in San Diego, California, on May 28,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Heron Therapeutics, Inc.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/s/ David Szekeres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25628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3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David Szekeres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Executive Vice President, Chief Operating Officer</w:t>
      </w:r>
    </w:p>
    <w:p>
      <w:pPr>
        <w:spacing w:after="0" w:line="200" w:lineRule="exact"/>
        <w:rPr>
          <w:sz w:val="20"/>
          <w:szCs w:val="20"/>
          <w:color w:val="auto"/>
        </w:rPr>
      </w:pPr>
    </w:p>
    <w:p>
      <w:pPr>
        <w:spacing w:after="0" w:line="2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Barry Quart and David Szekeres, and each of them acting individually, as his or her true and lawful attorney-in-fact and agent, with full power of substitution, for him or her and in his or her name, place and stead, in any and all capacities, to sign this registration statement and any and all amendments thereto, including post-effective amendments, and to file the same, with all exhibits thereto, any related registration filed pursuant to Rule 462(b) under the Securities Act of 1933, as amended,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the said attorney-in-fact and agent or his or her substitute or substitutes, may lawfully do or cause to be done by virtue hereof.</w:t>
      </w:r>
    </w:p>
    <w:p>
      <w:pPr>
        <w:spacing w:after="0" w:line="17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S-3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320" w:type="dxa"/>
            <w:vAlign w:val="bottom"/>
          </w:tcPr>
          <w:p>
            <w:pPr>
              <w:ind w:left="1860"/>
              <w:spacing w:after="0"/>
              <w:rPr>
                <w:sz w:val="20"/>
                <w:szCs w:val="20"/>
                <w:color w:val="auto"/>
              </w:rPr>
            </w:pPr>
            <w:r>
              <w:rPr>
                <w:rFonts w:ascii="Arial" w:cs="Arial" w:eastAsia="Arial" w:hAnsi="Arial"/>
                <w:sz w:val="14"/>
                <w:szCs w:val="14"/>
                <w:b w:val="1"/>
                <w:bCs w:val="1"/>
                <w:color w:val="auto"/>
              </w:rPr>
              <w:t>Signature</w:t>
            </w:r>
          </w:p>
        </w:tc>
        <w:tc>
          <w:tcPr>
            <w:tcW w:w="4780" w:type="dxa"/>
            <w:vAlign w:val="bottom"/>
          </w:tcPr>
          <w:p>
            <w:pPr>
              <w:ind w:left="2140"/>
              <w:spacing w:after="0"/>
              <w:rPr>
                <w:sz w:val="20"/>
                <w:szCs w:val="20"/>
                <w:color w:val="auto"/>
              </w:rPr>
            </w:pPr>
            <w:r>
              <w:rPr>
                <w:rFonts w:ascii="Arial" w:cs="Arial" w:eastAsia="Arial" w:hAnsi="Arial"/>
                <w:sz w:val="14"/>
                <w:szCs w:val="14"/>
                <w:b w:val="1"/>
                <w:bCs w:val="1"/>
                <w:color w:val="auto"/>
              </w:rPr>
              <w:t>Title</w:t>
            </w:r>
          </w:p>
        </w:tc>
        <w:tc>
          <w:tcPr>
            <w:tcW w:w="1400" w:type="dxa"/>
            <w:vAlign w:val="bottom"/>
          </w:tcPr>
          <w:p>
            <w:pPr>
              <w:jc w:val="center"/>
              <w:ind w:left="333"/>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Quart</w:t>
            </w:r>
          </w:p>
        </w:tc>
        <w:tc>
          <w:tcPr>
            <w:tcW w:w="4780" w:type="dxa"/>
            <w:vAlign w:val="bottom"/>
          </w:tcPr>
          <w:p>
            <w:pPr>
              <w:ind w:left="120"/>
              <w:spacing w:after="0"/>
              <w:rPr>
                <w:sz w:val="20"/>
                <w:szCs w:val="20"/>
                <w:color w:val="auto"/>
              </w:rPr>
            </w:pPr>
            <w:r>
              <w:rPr>
                <w:rFonts w:ascii="Arial" w:cs="Arial" w:eastAsia="Arial" w:hAnsi="Arial"/>
                <w:sz w:val="18"/>
                <w:szCs w:val="18"/>
                <w:color w:val="auto"/>
              </w:rPr>
              <w:t>Chief Executive Officer and Chairman of the Board of</w:t>
            </w:r>
          </w:p>
        </w:tc>
        <w:tc>
          <w:tcPr>
            <w:tcW w:w="1400" w:type="dxa"/>
            <w:vAlign w:val="bottom"/>
          </w:tcPr>
          <w:p>
            <w:pPr>
              <w:jc w:val="center"/>
              <w:ind w:left="313"/>
              <w:spacing w:after="0"/>
              <w:rPr>
                <w:sz w:val="20"/>
                <w:szCs w:val="20"/>
                <w:color w:val="auto"/>
              </w:rPr>
            </w:pPr>
            <w:r>
              <w:rPr>
                <w:rFonts w:ascii="Arial" w:cs="Arial" w:eastAsia="Arial" w:hAnsi="Arial"/>
                <w:sz w:val="18"/>
                <w:szCs w:val="18"/>
                <w:color w:val="auto"/>
                <w:w w:val="91"/>
              </w:rPr>
              <w:t>May 28, 2021</w:t>
            </w:r>
          </w:p>
        </w:tc>
      </w:tr>
      <w:tr>
        <w:trPr>
          <w:trHeight w:val="182"/>
        </w:trPr>
        <w:tc>
          <w:tcPr>
            <w:tcW w:w="4320" w:type="dxa"/>
            <w:vAlign w:val="bottom"/>
          </w:tcPr>
          <w:p>
            <w:pPr>
              <w:spacing w:after="0" w:line="182" w:lineRule="exact"/>
              <w:rPr>
                <w:sz w:val="20"/>
                <w:szCs w:val="20"/>
                <w:color w:val="auto"/>
              </w:rPr>
            </w:pPr>
            <w:r>
              <w:rPr>
                <w:rFonts w:ascii="Arial" w:cs="Arial" w:eastAsia="Arial" w:hAnsi="Arial"/>
                <w:sz w:val="18"/>
                <w:szCs w:val="18"/>
                <w:color w:val="auto"/>
              </w:rPr>
              <w:t>Barry Quart, Pharm.D.</w:t>
            </w:r>
          </w:p>
        </w:tc>
        <w:tc>
          <w:tcPr>
            <w:tcW w:w="4780" w:type="dxa"/>
            <w:vAlign w:val="bottom"/>
          </w:tcPr>
          <w:p>
            <w:pPr>
              <w:ind w:left="120"/>
              <w:spacing w:after="0" w:line="182" w:lineRule="exact"/>
              <w:rPr>
                <w:sz w:val="20"/>
                <w:szCs w:val="20"/>
                <w:color w:val="auto"/>
              </w:rPr>
            </w:pPr>
            <w:r>
              <w:rPr>
                <w:rFonts w:ascii="Arial" w:cs="Arial" w:eastAsia="Arial" w:hAnsi="Arial"/>
                <w:sz w:val="18"/>
                <w:szCs w:val="18"/>
                <w:color w:val="auto"/>
              </w:rPr>
              <w:t>Directors</w:t>
            </w:r>
          </w:p>
        </w:tc>
        <w:tc>
          <w:tcPr>
            <w:tcW w:w="1400" w:type="dxa"/>
            <w:vAlign w:val="bottom"/>
          </w:tcPr>
          <w:p>
            <w:pPr>
              <w:spacing w:after="0"/>
              <w:rPr>
                <w:sz w:val="15"/>
                <w:szCs w:val="15"/>
                <w:color w:val="auto"/>
              </w:rPr>
            </w:pPr>
          </w:p>
        </w:tc>
      </w:tr>
      <w:tr>
        <w:trPr>
          <w:trHeight w:val="230"/>
        </w:trPr>
        <w:tc>
          <w:tcPr>
            <w:tcW w:w="4320" w:type="dxa"/>
            <w:vAlign w:val="bottom"/>
          </w:tcPr>
          <w:p>
            <w:pPr>
              <w:spacing w:after="0"/>
              <w:rPr>
                <w:sz w:val="20"/>
                <w:szCs w:val="20"/>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1400" w:type="dxa"/>
            <w:vAlign w:val="bottom"/>
          </w:tcPr>
          <w:p>
            <w:pPr>
              <w:spacing w:after="0"/>
              <w:rPr>
                <w:sz w:val="20"/>
                <w:szCs w:val="20"/>
                <w:color w:val="auto"/>
              </w:rPr>
            </w:pPr>
          </w:p>
        </w:tc>
      </w:tr>
      <w:tr>
        <w:trPr>
          <w:trHeight w:val="445"/>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Peraza</w:t>
            </w:r>
          </w:p>
        </w:tc>
        <w:tc>
          <w:tcPr>
            <w:tcW w:w="4780" w:type="dxa"/>
            <w:vAlign w:val="bottom"/>
          </w:tcPr>
          <w:p>
            <w:pPr>
              <w:ind w:left="120"/>
              <w:spacing w:after="0"/>
              <w:rPr>
                <w:sz w:val="20"/>
                <w:szCs w:val="20"/>
                <w:color w:val="auto"/>
              </w:rPr>
            </w:pPr>
            <w:r>
              <w:rPr>
                <w:rFonts w:ascii="Arial" w:cs="Arial" w:eastAsia="Arial" w:hAnsi="Arial"/>
                <w:sz w:val="18"/>
                <w:szCs w:val="18"/>
                <w:color w:val="auto"/>
              </w:rPr>
              <w:t>Vice President, Chief Accounting Officer</w:t>
            </w:r>
          </w:p>
        </w:tc>
        <w:tc>
          <w:tcPr>
            <w:tcW w:w="1400" w:type="dxa"/>
            <w:vAlign w:val="bottom"/>
          </w:tcPr>
          <w:p>
            <w:pPr>
              <w:jc w:val="center"/>
              <w:ind w:left="313"/>
              <w:spacing w:after="0"/>
              <w:rPr>
                <w:sz w:val="20"/>
                <w:szCs w:val="20"/>
                <w:color w:val="auto"/>
              </w:rPr>
            </w:pPr>
            <w:r>
              <w:rPr>
                <w:rFonts w:ascii="Arial" w:cs="Arial" w:eastAsia="Arial" w:hAnsi="Arial"/>
                <w:sz w:val="18"/>
                <w:szCs w:val="18"/>
                <w:color w:val="auto"/>
                <w:w w:val="91"/>
              </w:rPr>
              <w:t>May 28, 2021</w:t>
            </w: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Lisa Peraza</w:t>
            </w:r>
          </w:p>
        </w:tc>
        <w:tc>
          <w:tcPr>
            <w:tcW w:w="478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140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Davis</w:t>
            </w:r>
          </w:p>
        </w:tc>
        <w:tc>
          <w:tcPr>
            <w:tcW w:w="47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400" w:type="dxa"/>
            <w:vAlign w:val="bottom"/>
          </w:tcPr>
          <w:p>
            <w:pPr>
              <w:jc w:val="center"/>
              <w:ind w:left="313"/>
              <w:spacing w:after="0"/>
              <w:rPr>
                <w:sz w:val="20"/>
                <w:szCs w:val="20"/>
                <w:color w:val="auto"/>
              </w:rPr>
            </w:pPr>
            <w:r>
              <w:rPr>
                <w:rFonts w:ascii="Arial" w:cs="Arial" w:eastAsia="Arial" w:hAnsi="Arial"/>
                <w:sz w:val="18"/>
                <w:szCs w:val="18"/>
                <w:color w:val="auto"/>
                <w:w w:val="91"/>
              </w:rPr>
              <w:t>May 28, 2021</w:t>
            </w: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Stephen Davis</w:t>
            </w:r>
          </w:p>
        </w:tc>
        <w:tc>
          <w:tcPr>
            <w:tcW w:w="47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Johnson</w:t>
            </w:r>
          </w:p>
        </w:tc>
        <w:tc>
          <w:tcPr>
            <w:tcW w:w="47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400" w:type="dxa"/>
            <w:vAlign w:val="bottom"/>
          </w:tcPr>
          <w:p>
            <w:pPr>
              <w:jc w:val="center"/>
              <w:ind w:left="313"/>
              <w:spacing w:after="0"/>
              <w:rPr>
                <w:sz w:val="20"/>
                <w:szCs w:val="20"/>
                <w:color w:val="auto"/>
              </w:rPr>
            </w:pPr>
            <w:r>
              <w:rPr>
                <w:rFonts w:ascii="Arial" w:cs="Arial" w:eastAsia="Arial" w:hAnsi="Arial"/>
                <w:sz w:val="18"/>
                <w:szCs w:val="18"/>
                <w:color w:val="auto"/>
                <w:w w:val="91"/>
              </w:rPr>
              <w:t>May 28, 2021</w:t>
            </w: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Craig Johnson</w:t>
            </w:r>
          </w:p>
        </w:tc>
        <w:tc>
          <w:tcPr>
            <w:tcW w:w="47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Kimberly Manhard</w:t>
            </w:r>
          </w:p>
        </w:tc>
        <w:tc>
          <w:tcPr>
            <w:tcW w:w="4780" w:type="dxa"/>
            <w:vAlign w:val="bottom"/>
          </w:tcPr>
          <w:p>
            <w:pPr>
              <w:ind w:left="120"/>
              <w:spacing w:after="0"/>
              <w:rPr>
                <w:sz w:val="20"/>
                <w:szCs w:val="20"/>
                <w:color w:val="auto"/>
              </w:rPr>
            </w:pPr>
            <w:r>
              <w:rPr>
                <w:rFonts w:ascii="Arial" w:cs="Arial" w:eastAsia="Arial" w:hAnsi="Arial"/>
                <w:sz w:val="18"/>
                <w:szCs w:val="18"/>
                <w:color w:val="auto"/>
                <w:w w:val="99"/>
              </w:rPr>
              <w:t>Executive Vice President, Drug Development, and Director</w:t>
            </w:r>
          </w:p>
        </w:tc>
        <w:tc>
          <w:tcPr>
            <w:tcW w:w="1400" w:type="dxa"/>
            <w:vAlign w:val="bottom"/>
          </w:tcPr>
          <w:p>
            <w:pPr>
              <w:jc w:val="center"/>
              <w:ind w:left="313"/>
              <w:spacing w:after="0"/>
              <w:rPr>
                <w:sz w:val="20"/>
                <w:szCs w:val="20"/>
                <w:color w:val="auto"/>
              </w:rPr>
            </w:pPr>
            <w:r>
              <w:rPr>
                <w:rFonts w:ascii="Arial" w:cs="Arial" w:eastAsia="Arial" w:hAnsi="Arial"/>
                <w:sz w:val="18"/>
                <w:szCs w:val="18"/>
                <w:color w:val="auto"/>
                <w:w w:val="91"/>
              </w:rPr>
              <w:t>May 28, 2021</w:t>
            </w: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Kimberly Manhard</w:t>
            </w:r>
          </w:p>
        </w:tc>
        <w:tc>
          <w:tcPr>
            <w:tcW w:w="47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Christian Waage</w:t>
            </w:r>
          </w:p>
        </w:tc>
        <w:tc>
          <w:tcPr>
            <w:tcW w:w="47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400" w:type="dxa"/>
            <w:vAlign w:val="bottom"/>
          </w:tcPr>
          <w:p>
            <w:pPr>
              <w:jc w:val="center"/>
              <w:ind w:left="313"/>
              <w:spacing w:after="0"/>
              <w:rPr>
                <w:sz w:val="20"/>
                <w:szCs w:val="20"/>
                <w:color w:val="auto"/>
              </w:rPr>
            </w:pPr>
            <w:r>
              <w:rPr>
                <w:rFonts w:ascii="Arial" w:cs="Arial" w:eastAsia="Arial" w:hAnsi="Arial"/>
                <w:sz w:val="18"/>
                <w:szCs w:val="18"/>
                <w:color w:val="auto"/>
                <w:w w:val="91"/>
              </w:rPr>
              <w:t>May 28, 2021</w:t>
            </w: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Christian Waage</w:t>
            </w:r>
          </w:p>
        </w:tc>
        <w:tc>
          <w:tcPr>
            <w:tcW w:w="4780" w:type="dxa"/>
            <w:vAlign w:val="bottom"/>
          </w:tcPr>
          <w:p>
            <w:pPr>
              <w:spacing w:after="0"/>
              <w:rPr>
                <w:sz w:val="19"/>
                <w:szCs w:val="19"/>
                <w:color w:val="auto"/>
              </w:rPr>
            </w:pPr>
          </w:p>
        </w:tc>
        <w:tc>
          <w:tcPr>
            <w:tcW w:w="1400" w:type="dxa"/>
            <w:vAlign w:val="bottom"/>
          </w:tcPr>
          <w:p>
            <w:pPr>
              <w:spacing w:after="0"/>
              <w:rPr>
                <w:sz w:val="19"/>
                <w:szCs w:val="19"/>
                <w:color w:val="auto"/>
              </w:rPr>
            </w:pPr>
          </w:p>
        </w:tc>
      </w:tr>
    </w:tbl>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40"/>
          </w:cols>
          <w:pgMar w:left="320" w:top="459" w:right="539" w:bottom="1440" w:gutter="0" w:footer="0" w:header="0"/>
        </w:sectPr>
      </w:pPr>
    </w:p>
    <w:bookmarkStart w:id="23" w:name="page24"/>
    <w:bookmarkEnd w:id="23"/>
    <w:p>
      <w:pPr>
        <w:ind w:left="10180"/>
        <w:spacing w:after="0"/>
        <w:rPr>
          <w:sz w:val="20"/>
          <w:szCs w:val="20"/>
          <w:color w:val="auto"/>
        </w:rPr>
      </w:pPr>
      <w:r>
        <w:rPr>
          <w:rFonts w:ascii="Arial" w:cs="Arial" w:eastAsia="Arial" w:hAnsi="Arial"/>
          <w:sz w:val="16"/>
          <w:szCs w:val="16"/>
          <w:b w:val="1"/>
          <w:bCs w:val="1"/>
          <w:color w:val="auto"/>
        </w:rPr>
        <w:t>Exhibit 5.1</w:t>
      </w:r>
    </w:p>
    <w:p>
      <w:pPr>
        <w:spacing w:after="0" w:line="279"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 xml:space="preserve">Gibson, Dunn &amp; Crutcher </w:t>
      </w:r>
      <w:r>
        <w:rPr>
          <w:rFonts w:ascii="Arial" w:cs="Arial" w:eastAsia="Arial" w:hAnsi="Arial"/>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705610" cy="257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1705610" cy="257175"/>
                    </a:xfrm>
                    <a:prstGeom prst="rect">
                      <a:avLst/>
                    </a:prstGeom>
                    <a:noFill/>
                  </pic:spPr>
                </pic:pic>
              </a:graphicData>
            </a:graphic>
          </wp:anchor>
        </w:drawing>
      </w:r>
    </w:p>
    <w:p>
      <w:pPr>
        <w:spacing w:after="0" w:line="111"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555 Mission Street</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San Francisco, CA 94105-0921</w:t>
      </w:r>
    </w:p>
    <w:p>
      <w:pPr>
        <w:spacing w:after="0" w:line="9"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Tel 415.393.8200</w:t>
      </w:r>
    </w:p>
    <w:p>
      <w:pPr>
        <w:spacing w:after="0" w:line="9"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www.gibsondunn.com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28,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Heron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4242 Campus Point Court,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i w:val="1"/>
          <w:iCs w:val="1"/>
          <w:color w:val="auto"/>
        </w:rPr>
        <w:t>Heron Therapeutics,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Registration Statement on Form S-3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have examined the Registration Statement on Form S-3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of Heron Therapeutics, Inc., a Delaware corporation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filed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pursuant to the Securities Act of 1933,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in connection with the offering by the selling stockholder identified in the Registration Statement of up to 12,441,021 shares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Company’s common stock, par value $0.01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2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arriving at the opinion expressed below, we have examined originals, or copies certified or otherwise identified to our satisfaction as being true and complete copies of the originals, of specimen common stock certificates and such other documents, corporate records, certificates of officers of the Company and of public officials and other instruments as we have deemed necessary or advisable to enable us to render the opinions set forth below.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w:t>
      </w:r>
    </w:p>
    <w:p>
      <w:pPr>
        <w:spacing w:after="0" w:line="192"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Based upon the foregoing, and subject to the assumptions, exceptions, qualifications and limitations set forth herein, we are of the opinion that the Shares, when issued against payment therefor as set forth in the Registration Statement, will be validly issued, fully paid and non-assessable.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filing of this opinion as an exhibit to the Registration Statement, and we further consent to the use of our name under the caption</w:t>
      </w:r>
    </w:p>
    <w:p>
      <w:pPr>
        <w:spacing w:after="0" w:line="46"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Legal Matters</w:t>
      </w:r>
      <w:r>
        <w:rPr>
          <w:rFonts w:ascii="Arial" w:cs="Arial" w:eastAsia="Arial" w:hAnsi="Arial"/>
          <w:sz w:val="16"/>
          <w:szCs w:val="16"/>
          <w:color w:val="auto"/>
        </w:rPr>
        <w:t>” in the Registration Statement and the prospectus that forms a part thereof. In giving these consents, we do not thereby admit that we are within the category of persons whose consent is required under Section 7 of the Securities Act or the Rules and Regulations of the Commission.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Gibson, Dunn &amp; Crutcher LLP</w:t>
      </w:r>
    </w:p>
    <w:p>
      <w:pPr>
        <w:spacing w:after="0" w:line="15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Beijing • Brussels • Century City • Dallas • Denver • Dubai • Frankfurt • Hong Kong • Houston • London • Los Angeles • Munich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 Orange County • Palo Alto • Paris • San Francisco • São Paulo • Singapore • Washington, D.C.</w:t>
      </w:r>
    </w:p>
    <w:p>
      <w:pPr>
        <w:sectPr>
          <w:pgSz w:w="11900" w:h="16838" w:orient="portrait"/>
          <w:cols w:equalWidth="0" w:num="1">
            <w:col w:w="11020"/>
          </w:cols>
          <w:pgMar w:left="440" w:top="121" w:right="4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hereby consent to the incorporation by reference in the Prospectus constituting a part of this Registration Statement on Form S-3 of Heron Therapeutics, Inc. of our reports dated February 24, 2021 relating to the consolidated financial statements and the effectiveness of internal control over financial reporting of Heron Therapeutics, Inc. appearing in the Company’s Annual Report on Form 10-K for the year ended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28,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858"/>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lvl w:ilvl="1">
      <w:lvlJc w:val="left"/>
      <w:lvlText w:val="(%2)"/>
      <w:numFmt w:val="lowerRoman"/>
      <w:start w:val="1"/>
    </w:lvl>
  </w:abstractNum>
  <w:abstractNum w:abstractNumId="11">
    <w:nsid w:val="109CF92E"/>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12">
    <w:nsid w:val="DED7263"/>
    <w:multiLevelType w:val="hybridMultilevel"/>
    <w:lvl w:ilvl="0">
      <w:lvlJc w:val="left"/>
      <w:lvlText w:val="(%1)"/>
      <w:numFmt w:val="decimal"/>
      <w:start w:val="5"/>
    </w:lvl>
  </w:abstractNum>
  <w:abstractNum w:abstractNumId="13">
    <w:nsid w:val="7FDCC233"/>
    <w:multiLevelType w:val="hybridMultilevel"/>
    <w:lvl w:ilvl="0">
      <w:lvlJc w:val="left"/>
      <w:lvlText w:val="(%1)"/>
      <w:numFmt w:val="lowerRoman"/>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jpeg"/><Relationship Id="rId41" Type="http://schemas.openxmlformats.org/officeDocument/2006/relationships/hyperlink" Target="http://www.sec.gov/ix?doc=/Archives/edgar/data/818033/000156459021007841/hrtx-10k_20201231.htm" TargetMode="External"/><Relationship Id="rId42" Type="http://schemas.openxmlformats.org/officeDocument/2006/relationships/hyperlink" Target="http://www.sec.gov/ix?doc=/Archives/edgar/data/818033/000156459021025796/hrtx-10q_20210331.htm" TargetMode="External"/><Relationship Id="rId43" Type="http://schemas.openxmlformats.org/officeDocument/2006/relationships/hyperlink" Target="http://www.sec.gov/Archives/edgar/data/818033/000156459021020104/hrtx-def14a_20210617.htm" TargetMode="External"/><Relationship Id="rId44" Type="http://schemas.openxmlformats.org/officeDocument/2006/relationships/hyperlink" Target="http://www.sec.gov/ix?doc=/Archives/edgar/data/818033/000156459021029621/hrtx-8k_20210524.htm" TargetMode="External"/><Relationship Id="rId45" Type="http://schemas.openxmlformats.org/officeDocument/2006/relationships/hyperlink" Target="http://www.sec.gov/Archives/edgar/data/818033/000119312517222989/d413369d8a12ba.htm" TargetMode="External"/><Relationship Id="rId49" Type="http://schemas.openxmlformats.org/officeDocument/2006/relationships/hyperlink" Target="http://www.sec.gov/Archives/edgar/data/818033/000119312509163712/dex31.htm" TargetMode="External"/><Relationship Id="rId50" Type="http://schemas.openxmlformats.org/officeDocument/2006/relationships/hyperlink" Target="http://www.sec.gov/Archives/edgar/data/818033/000119312511179119/dex31.htm" TargetMode="External"/><Relationship Id="rId51" Type="http://schemas.openxmlformats.org/officeDocument/2006/relationships/hyperlink" Target="http://www.sec.gov/Archives/edgar/data/818033/000119312514009260/d659835dex31.htm" TargetMode="External"/><Relationship Id="rId52" Type="http://schemas.openxmlformats.org/officeDocument/2006/relationships/hyperlink" Target="http://www.sec.gov/Archives/edgar/data/818033/000119312517222989/d413369dex34.htm" TargetMode="External"/><Relationship Id="rId53" Type="http://schemas.openxmlformats.org/officeDocument/2006/relationships/hyperlink" Target="http://www.sec.gov/Archives/edgar/data/818033/000119312519047780/d697177dex36.htm" TargetMode="External"/><Relationship Id="rId54" Type="http://schemas.openxmlformats.org/officeDocument/2006/relationships/hyperlink" Target="http://www.sec.gov/Archives/edgar/data/818033/000119312519032236/d699071dex31.htm" TargetMode="External"/><Relationship Id="rId55" Type="http://schemas.openxmlformats.org/officeDocument/2006/relationships/hyperlink" Target="http://www.sec.gov/Archives/edgar/data/818033/00011931250922778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2021-05-28T21:10:03Z</dcterms:created>
  <dcterms:modified xsi:type="dcterms:W3CDTF">2021-05-28T21:10:03Z</dcterms:modified>
</cp:coreProperties>
</file>