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Duarte Ira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FENTON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HERON THERAPEUTICS,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13,535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277,381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273,531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11,694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285,225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3,326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281,899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13,535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189,492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11,694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116,944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January 30, 2026 (the "Date of Grant"), the Reporting Person was granted 216,562 RSUs which vest upon the following time-based vesting schedule: the RSUs vest in 16 equal quarterly installments beginning one quarter after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in 16 equal installments beginning one quarter after the date of grant (January 31, 2025).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/s/Kathryn Lester Attorney-in-fact for Ira Duarte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8864" TargetMode="External"/><Relationship Id="rId5" Type="http://schemas.openxmlformats.org/officeDocument/2006/relationships/hyperlink" Target="http://www.sec.gov/cgi-bin/browse-edgar?action=getcompany&amp;CIK=00008180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702</Words>
  <Characters>3750</Characters>
  <CharactersWithSpaces>4334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