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rtx-20260813.htm"/>
      <w:bookmarkStart w:id="1" w:name="kshrtx20260813"/>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August 13, 2026</w:t>
      </w:r>
    </w:p>
    <w:p>
      <w:pPr>
        <w:pStyle w:val="TextBody"/>
        <w:bidi w:val="0"/>
        <w:spacing w:before="120" w:after="283"/>
        <w:jc w:val="center"/>
        <w:rPr>
          <w:rFonts w:ascii="Times New Roman" w:hAnsi="Times New Roman"/>
          <w:sz w:val="20"/>
        </w:rPr>
      </w:pPr>
      <w:r>
        <w:rPr>
          <w:rFonts w:ascii="Times New Roman" w:hAnsi="Times New Roman"/>
          <w:b/>
          <w:color w:val="000000"/>
          <w:sz w:val="48"/>
        </w:rPr>
        <w:t>Heron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001-33221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94-2875566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791" w:type="dxa"/>
        <w:jc w:val="left"/>
        <w:tblInd w:w="0" w:type="dxa"/>
        <w:tblLayout w:type="fixed"/>
        <w:tblCellMar>
          <w:top w:w="28" w:type="dxa"/>
          <w:left w:w="28" w:type="dxa"/>
          <w:bottom w:w="28" w:type="dxa"/>
          <w:right w:w="28" w:type="dxa"/>
        </w:tblCellMar>
      </w:tblPr>
      <w:tblGrid>
        <w:gridCol w:w="3751"/>
        <w:gridCol w:w="109"/>
        <w:gridCol w:w="93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 Fenton Main Street, Suite 300, Cary, NC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27511</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251-4400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120" w:after="283"/>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8651" w:type="dxa"/>
        <w:jc w:val="left"/>
        <w:tblInd w:w="0" w:type="dxa"/>
        <w:tblLayout w:type="fixed"/>
        <w:tblCellMar>
          <w:top w:w="28" w:type="dxa"/>
          <w:left w:w="28" w:type="dxa"/>
          <w:bottom w:w="28" w:type="dxa"/>
          <w:right w:w="28" w:type="dxa"/>
        </w:tblCellMar>
      </w:tblPr>
      <w:tblGrid>
        <w:gridCol w:w="3661"/>
        <w:gridCol w:w="109"/>
        <w:gridCol w:w="1456"/>
        <w:gridCol w:w="109"/>
        <w:gridCol w:w="3316"/>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HRTX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13, 2026, Heron Therapeutics, Inc. (the “Company”) entered into Amendment No. 1 to Tax Benefit Preservation Plan (the “Amendment”), which amends the Tax Benefit Preservation Plan, dated as of August 14, 2025 (the “Plan”), by and between the Company and Computershare Trust Company, N.A., as rights agent.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Amendment amends the definition of “Final Expiration Date” and all references to August 14, 2026 in the Plan to mean August 14, 2029.</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foregoing description of the Amendment does not purport to be complete and is qualified in its entirety by reference to the Amendment, a copy of which is attached as Exhibit 4.1 and is incorporated herein by reference. </w:t>
      </w:r>
    </w:p>
    <w:p>
      <w:pPr>
        <w:pStyle w:val="TextBody"/>
        <w:bidi w:val="0"/>
        <w:jc w:val="left"/>
        <w:rPr>
          <w:rFonts w:ascii="Times New Roman" w:hAnsi="Times New Roman"/>
          <w:sz w:val="20"/>
        </w:rPr>
      </w:pPr>
      <w:r>
        <w:rPr>
          <w:rFonts w:ascii="Times New Roman" w:hAnsi="Times New Roman"/>
          <w:b/>
          <w:color w:val="000000"/>
          <w:sz w:val="20"/>
        </w:rPr>
        <w:t>Item 3.03 Material Modification to Rights of Security Holders.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information included in Item 1.01 of this Current Report on Form 8-K is incorporated by reference into this Item 3.03.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8"/>
        <w:gridCol w:w="146"/>
        <w:gridCol w:w="8929"/>
        <w:gridCol w:w="192"/>
      </w:tblGrid>
      <w:tr>
        <w:trPr/>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0" w:after="283"/>
              <w:jc w:val="left"/>
              <w:rPr/>
            </w:pPr>
            <w:hyperlink w:anchor="hrtx-ex4_1.htm">
              <w:r>
                <w:rPr>
                  <w:rStyle w:val="InternetLink"/>
                  <w:rFonts w:ascii="Times New Roman" w:hAnsi="Times New Roman"/>
                  <w:color w:val="0000FF"/>
                  <w:sz w:val="20"/>
                  <w:u w:val="single"/>
                </w:rPr>
                <w:t>Amendment No. 1 to Tax Benefit Preservation Plan, dated as of August 13, 2026, by and between Heron Therapeutics, Inc. and Computershare Trust Company, N.A., as rights agent.</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310" w:type="dxa"/>
        <w:jc w:val="left"/>
        <w:tblInd w:w="0" w:type="dxa"/>
        <w:tblLayout w:type="fixed"/>
        <w:tblCellMar>
          <w:top w:w="28" w:type="dxa"/>
          <w:left w:w="28" w:type="dxa"/>
          <w:bottom w:w="28" w:type="dxa"/>
          <w:right w:w="28" w:type="dxa"/>
        </w:tblCellMar>
      </w:tblPr>
      <w:tblGrid>
        <w:gridCol w:w="1951"/>
        <w:gridCol w:w="109"/>
        <w:gridCol w:w="109"/>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Heron Therapeutics, Inc.</w:t>
            </w:r>
          </w:p>
        </w:tc>
      </w:tr>
      <w:tr>
        <w:trPr/>
        <w:tc>
          <w:tcPr>
            <w:tcW w:w="631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Ira Duarte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Ira Duarte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4"/>
        </w:rPr>
      </w:pPr>
      <w:bookmarkStart w:id="2" w:name="hrtx-ex4_1.htm"/>
      <w:bookmarkStart w:id="3" w:name="kshrtxex4_1"/>
      <w:bookmarkEnd w:id="2"/>
      <w:bookmarkEnd w:id="3"/>
      <w:r>
        <w:rPr>
          <w:rFonts w:ascii="Times New Roman" w:hAnsi="Times New Roman"/>
          <w:b/>
          <w:color w:val="000000"/>
          <w:sz w:val="24"/>
        </w:rPr>
        <w:t>Exhibit 4.1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AMENDMENT NO. 1 TO</w:t>
      </w:r>
    </w:p>
    <w:p>
      <w:pPr>
        <w:pStyle w:val="TextBody"/>
        <w:bidi w:val="0"/>
        <w:jc w:val="center"/>
        <w:rPr>
          <w:rFonts w:ascii="Times New Roman" w:hAnsi="Times New Roman"/>
          <w:b/>
          <w:color w:val="000000"/>
          <w:sz w:val="24"/>
        </w:rPr>
      </w:pPr>
      <w:r>
        <w:rPr>
          <w:rFonts w:ascii="Times New Roman" w:hAnsi="Times New Roman"/>
          <w:b/>
          <w:color w:val="000000"/>
          <w:sz w:val="24"/>
        </w:rPr>
        <w:t>TAX BENEFIT PRESERVATION PLAN</w:t>
      </w:r>
    </w:p>
    <w:p>
      <w:pPr>
        <w:pStyle w:val="TextBody"/>
        <w:bidi w:val="0"/>
        <w:spacing w:before="240" w:after="283"/>
        <w:jc w:val="left"/>
        <w:rPr>
          <w:rFonts w:ascii="Times New Roman" w:hAnsi="Times New Roman"/>
          <w:sz w:val="20"/>
        </w:rPr>
      </w:pPr>
      <w:r>
        <w:rPr>
          <w:rFonts w:ascii="Times New Roman" w:hAnsi="Times New Roman"/>
          <w:color w:val="000000"/>
          <w:sz w:val="24"/>
        </w:rPr>
        <w:t>This Amendment No. 1 to Tax Benefit Preservation Plan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dated as of August 13,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and amends that certain Tax Benefit Preservation Plan, dated as of August 14, 2025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by and between Heron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Computershare Trust Company, N.A., a federally chartered trust company, as rights agent (the “</w:t>
      </w:r>
      <w:r>
        <w:rPr>
          <w:rFonts w:ascii="Times New Roman" w:hAnsi="Times New Roman"/>
          <w:b/>
          <w:color w:val="000000"/>
          <w:sz w:val="24"/>
        </w:rPr>
        <w:t>Rights Agent</w:t>
      </w:r>
      <w:r>
        <w:rPr>
          <w:rFonts w:ascii="Times New Roman" w:hAnsi="Times New Roman"/>
          <w:color w:val="000000"/>
          <w:sz w:val="20"/>
        </w:rPr>
        <w:t>”</w:t>
      </w:r>
      <w:r>
        <w:rPr>
          <w:rFonts w:ascii="Times New Roman" w:hAnsi="Times New Roman"/>
          <w:color w:val="000000"/>
          <w:sz w:val="24"/>
        </w:rPr>
        <w:t>). Capitalized terms used in this Amendment and not otherwise defined have the meanings given to them in the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previously entered into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accordance with Section 26 of the Plan, for so long as the Rights are redeemable, the Company may, in its sole and absolute discretion, supplement or amend the Plan in any respect without the approval of any holders of Rights or Common Stock, and the Rights Agent must, if the Company so directs, execute such supplement or amendment, subject to Section 26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Rights are currently redeemable and no person is an Acquiring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wishes to amend certain terms in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has delivered to the Rights Agent a certificate stating that this Amendment complies with Section 26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Rights Agent is directed to join in this Amendment.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hereto therefore agree as follows: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i/>
          <w:color w:val="000000"/>
          <w:sz w:val="24"/>
        </w:rPr>
        <w:t>Amendment of the Plan</w:t>
      </w:r>
      <w:r>
        <w:rPr>
          <w:rFonts w:ascii="Times New Roman" w:hAnsi="Times New Roman"/>
          <w:color w:val="000000"/>
          <w:sz w:val="24"/>
        </w:rPr>
        <w:t>. The definition of “Final Expiration Date” in Section 7.1 of the Plan and all references to August 14, 2026 therein are hereby amended to mean August 14, 2029.</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i/>
          <w:color w:val="000000"/>
          <w:sz w:val="24"/>
        </w:rPr>
        <w:t>No Other Amendment; Effect of Amendment</w:t>
      </w:r>
      <w:r>
        <w:rPr>
          <w:rFonts w:ascii="Times New Roman" w:hAnsi="Times New Roman"/>
          <w:color w:val="000000"/>
          <w:sz w:val="24"/>
        </w:rPr>
        <w:t>. Except as and to the extent expressly modified by this Amendment, the Plan and the exhibits thereto remain in full force and effect in all respects without any modification. This Amendment will be deemed an amendment to the Plan and will become effective on the Effective Date. In the event of a conflict or inconsistency between this Amendment, on the one hand, and the Plan and the exhibits thereto, on the other hand, the provisions of this Amendment will govern.</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i/>
          <w:color w:val="000000"/>
          <w:sz w:val="24"/>
        </w:rPr>
        <w:t>Further Assurances</w:t>
      </w:r>
      <w:r>
        <w:rPr>
          <w:rFonts w:ascii="Times New Roman" w:hAnsi="Times New Roman"/>
          <w:color w:val="000000"/>
          <w:sz w:val="24"/>
        </w:rPr>
        <w:t>. Each of the parties hereto will reasonably cooperate and take such action as may be reasonably requested by the other party in order to carry out the provisions and purposes of this Amendment, the Plan and the transactions contemplated hereunder and thereunder.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i/>
          <w:color w:val="000000"/>
          <w:sz w:val="24"/>
        </w:rPr>
        <w:t>Miscellaneous</w:t>
      </w:r>
      <w:r>
        <w:rPr>
          <w:rFonts w:ascii="Times New Roman" w:hAnsi="Times New Roman"/>
          <w:color w:val="000000"/>
          <w:sz w:val="24"/>
        </w:rPr>
        <w:t xml:space="preserve">. Section 26, Section 32, Section 33 and Section 34 of the Plan apply to this Amendment, </w:t>
      </w:r>
      <w:r>
        <w:rPr>
          <w:rFonts w:ascii="Times New Roman" w:hAnsi="Times New Roman"/>
          <w:i/>
          <w:color w:val="000000"/>
          <w:sz w:val="24"/>
        </w:rPr>
        <w:t>mutatis mutandis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hereto are signing this Amendment on the Effective Date.</w:t>
      </w:r>
    </w:p>
    <w:tbl>
      <w:tblPr>
        <w:tblW w:w="5244" w:type="dxa"/>
        <w:jc w:val="left"/>
        <w:tblInd w:w="0" w:type="dxa"/>
        <w:tblLayout w:type="fixed"/>
        <w:tblCellMar>
          <w:top w:w="28" w:type="dxa"/>
          <w:left w:w="28" w:type="dxa"/>
          <w:bottom w:w="28" w:type="dxa"/>
          <w:right w:w="28" w:type="dxa"/>
        </w:tblCellMar>
      </w:tblPr>
      <w:tblGrid>
        <w:gridCol w:w="854"/>
        <w:gridCol w:w="227"/>
        <w:gridCol w:w="227"/>
        <w:gridCol w:w="341"/>
        <w:gridCol w:w="458"/>
        <w:gridCol w:w="458"/>
        <w:gridCol w:w="341"/>
        <w:gridCol w:w="341"/>
        <w:gridCol w:w="458"/>
        <w:gridCol w:w="458"/>
        <w:gridCol w:w="458"/>
        <w:gridCol w:w="623"/>
      </w:tblGrid>
      <w:tr>
        <w:trPr/>
        <w:tc>
          <w:tcPr>
            <w:tcW w:w="8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64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2679" w:type="dxa"/>
            <w:gridSpan w:val="6"/>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7" w:type="dxa"/>
            <w:gridSpan w:val="8"/>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44" w:type="dxa"/>
            <w:gridSpan w:val="1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HERON THERAPEUTICS, INC.</w:t>
            </w:r>
          </w:p>
        </w:tc>
      </w:tr>
      <w:tr>
        <w:trPr/>
        <w:tc>
          <w:tcPr>
            <w:tcW w:w="10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390" w:type="dxa"/>
            <w:gridSpan w:val="11"/>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Craig Collard</w:t>
            </w:r>
          </w:p>
        </w:tc>
      </w:tr>
      <w:tr>
        <w:trPr/>
        <w:tc>
          <w:tcPr>
            <w:tcW w:w="10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Craig Collard</w:t>
            </w:r>
          </w:p>
        </w:tc>
      </w:tr>
      <w:tr>
        <w:trPr/>
        <w:tc>
          <w:tcPr>
            <w:tcW w:w="10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 (CEO)</w:t>
            </w:r>
          </w:p>
        </w:tc>
      </w:tr>
      <w:tr>
        <w:trPr/>
        <w:tc>
          <w:tcPr>
            <w:tcW w:w="5244" w:type="dxa"/>
            <w:gridSpan w:val="1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COMPUTERSHARE TRUST COMPANY, N.A.</w:t>
            </w:r>
          </w:p>
        </w:tc>
      </w:tr>
      <w:tr>
        <w:trPr/>
        <w:tc>
          <w:tcPr>
            <w:tcW w:w="10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390" w:type="dxa"/>
            <w:gridSpan w:val="11"/>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Patrick Hayes</w:t>
            </w:r>
          </w:p>
        </w:tc>
      </w:tr>
      <w:tr>
        <w:trPr/>
        <w:tc>
          <w:tcPr>
            <w:tcW w:w="10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Patrick Hayes</w:t>
            </w:r>
          </w:p>
        </w:tc>
      </w:tr>
      <w:tr>
        <w:trPr/>
        <w:tc>
          <w:tcPr>
            <w:tcW w:w="10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Manager, Client Management</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1023</Words>
  <Characters>5402</Characters>
  <CharactersWithSpaces>6389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