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Collard Craig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FENTON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HERON THERAPEUTICS,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50,021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821,703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34,789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856,492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700,295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34,789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347,886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January 30, 2026 (the "Date of Grant"), the Reporting Person was granted 800,337 RSUs which vest upon the following time-based vesting schedule: the RSUs vest in 16 equal quarterly installments beginning one quarter after the Date of Grant. The full amount of the RSUs granted to the Reporting Person is reflected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16 equal installments beginning one quarter after the date of grant (January 31, 2025).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/s/Kathryn Lester Attorney-in-fact for Craig Collard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3558" TargetMode="External"/><Relationship Id="rId5" Type="http://schemas.openxmlformats.org/officeDocument/2006/relationships/hyperlink" Target="http://www.sec.gov/cgi-bin/browse-edgar?action=getcompany&amp;CIK=0000818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698</Words>
  <Characters>3740</Characters>
  <CharactersWithSpaces>4336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