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rtx-20260810.htm"/>
      <w:bookmarkStart w:id="1" w:name="kshrtx20260810"/>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 August 10, 2026</w:t>
      </w:r>
    </w:p>
    <w:p>
      <w:pPr>
        <w:pStyle w:val="TextBody"/>
        <w:bidi w:val="0"/>
        <w:spacing w:before="120" w:after="283"/>
        <w:jc w:val="center"/>
        <w:rPr>
          <w:rFonts w:ascii="Times New Roman" w:hAnsi="Times New Roman"/>
          <w:sz w:val="20"/>
        </w:rPr>
      </w:pPr>
      <w:r>
        <w:rPr>
          <w:rFonts w:ascii="Times New Roman" w:hAnsi="Times New Roman"/>
          <w:b/>
          <w:color w:val="000000"/>
          <w:sz w:val="48"/>
        </w:rPr>
        <w:t>Heron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841" w:type="dxa"/>
        <w:jc w:val="left"/>
        <w:tblInd w:w="0" w:type="dxa"/>
        <w:tblLayout w:type="fixed"/>
        <w:tblCellMar>
          <w:top w:w="28" w:type="dxa"/>
          <w:left w:w="28" w:type="dxa"/>
          <w:bottom w:w="28" w:type="dxa"/>
          <w:right w:w="28" w:type="dxa"/>
        </w:tblCellMar>
      </w:tblPr>
      <w:tblGrid>
        <w:gridCol w:w="2071"/>
        <w:gridCol w:w="109"/>
        <w:gridCol w:w="1066"/>
        <w:gridCol w:w="109"/>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001-33221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94-2875566</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tbl>
      <w:tblPr>
        <w:tblW w:w="4791" w:type="dxa"/>
        <w:jc w:val="left"/>
        <w:tblInd w:w="0" w:type="dxa"/>
        <w:tblLayout w:type="fixed"/>
        <w:tblCellMar>
          <w:top w:w="28" w:type="dxa"/>
          <w:left w:w="28" w:type="dxa"/>
          <w:bottom w:w="28" w:type="dxa"/>
          <w:right w:w="28" w:type="dxa"/>
        </w:tblCellMar>
      </w:tblPr>
      <w:tblGrid>
        <w:gridCol w:w="3751"/>
        <w:gridCol w:w="109"/>
        <w:gridCol w:w="931"/>
      </w:tblGrid>
      <w:tr>
        <w:trPr/>
        <w:tc>
          <w:tcPr>
            <w:tcW w:w="3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25 Fenton Main Street, Suite 300, Cary, NC</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27511</w:t>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(858)</w:t>
      </w:r>
      <w:r>
        <w:rPr>
          <w:rFonts w:ascii="Times New Roman" w:hAnsi="Times New Roman"/>
          <w:color w:val="000000"/>
          <w:sz w:val="20"/>
        </w:rPr>
        <w:t xml:space="preserve"> </w:t>
      </w:r>
      <w:r>
        <w:rPr>
          <w:rFonts w:ascii="Times New Roman" w:hAnsi="Times New Roman"/>
          <w:b/>
          <w:color w:val="000000"/>
          <w:sz w:val="20"/>
        </w:rPr>
        <w:t>251-4400</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N/A</w:t>
      </w:r>
    </w:p>
    <w:p>
      <w:pPr>
        <w:pStyle w:val="TextBody"/>
        <w:bidi w:val="0"/>
        <w:spacing w:before="120" w:after="283"/>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 A.2. below): </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tbl>
      <w:tblPr>
        <w:tblW w:w="7817" w:type="dxa"/>
        <w:jc w:val="left"/>
        <w:tblInd w:w="0" w:type="dxa"/>
        <w:tblLayout w:type="fixed"/>
        <w:tblCellMar>
          <w:top w:w="28" w:type="dxa"/>
          <w:left w:w="28" w:type="dxa"/>
          <w:bottom w:w="28" w:type="dxa"/>
          <w:right w:w="28" w:type="dxa"/>
        </w:tblCellMar>
      </w:tblPr>
      <w:tblGrid>
        <w:gridCol w:w="331"/>
        <w:gridCol w:w="7486"/>
      </w:tblGrid>
      <w:tr>
        <w:trPr/>
        <w:tc>
          <w:tcPr>
            <w:tcW w:w="331" w:type="dxa"/>
            <w:tcBorders/>
            <w:vAlign w:val="center"/>
          </w:tcPr>
          <w:p>
            <w:pPr>
              <w:pStyle w:val="TableContents"/>
              <w:bidi w:val="0"/>
              <w:spacing w:before="0" w:after="283"/>
              <w:jc w:val="left"/>
              <w:rPr>
                <w:sz w:val="4"/>
                <w:szCs w:val="4"/>
              </w:rPr>
            </w:pPr>
            <w:r>
              <w:rPr>
                <w:sz w:val="4"/>
                <w:szCs w:val="4"/>
              </w:rPr>
            </w:r>
          </w:p>
        </w:tc>
        <w:tc>
          <w:tcPr>
            <w:tcW w:w="74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bl>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bl>
    <w:tbl>
      <w:tblPr>
        <w:tblW w:w="9497" w:type="dxa"/>
        <w:jc w:val="left"/>
        <w:tblInd w:w="0" w:type="dxa"/>
        <w:tblLayout w:type="fixed"/>
        <w:tblCellMar>
          <w:top w:w="28" w:type="dxa"/>
          <w:left w:w="28" w:type="dxa"/>
          <w:bottom w:w="28" w:type="dxa"/>
          <w:right w:w="28" w:type="dxa"/>
        </w:tblCellMar>
      </w:tblPr>
      <w:tblGrid>
        <w:gridCol w:w="331"/>
        <w:gridCol w:w="9166"/>
      </w:tblGrid>
      <w:tr>
        <w:trPr/>
        <w:tc>
          <w:tcPr>
            <w:tcW w:w="331" w:type="dxa"/>
            <w:tcBorders/>
            <w:vAlign w:val="center"/>
          </w:tcPr>
          <w:p>
            <w:pPr>
              <w:pStyle w:val="TableContents"/>
              <w:bidi w:val="0"/>
              <w:spacing w:before="0" w:after="283"/>
              <w:jc w:val="left"/>
              <w:rPr>
                <w:sz w:val="4"/>
                <w:szCs w:val="4"/>
              </w:rPr>
            </w:pPr>
            <w:r>
              <w:rPr>
                <w:sz w:val="4"/>
                <w:szCs w:val="4"/>
              </w:rPr>
            </w:r>
          </w:p>
        </w:tc>
        <w:tc>
          <w:tcPr>
            <w:tcW w:w="91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tbl>
      <w:tblPr>
        <w:tblW w:w="8651" w:type="dxa"/>
        <w:jc w:val="left"/>
        <w:tblInd w:w="0" w:type="dxa"/>
        <w:tblLayout w:type="fixed"/>
        <w:tblCellMar>
          <w:top w:w="28" w:type="dxa"/>
          <w:left w:w="28" w:type="dxa"/>
          <w:bottom w:w="28" w:type="dxa"/>
          <w:right w:w="28" w:type="dxa"/>
        </w:tblCellMar>
      </w:tblPr>
      <w:tblGrid>
        <w:gridCol w:w="3661"/>
        <w:gridCol w:w="109"/>
        <w:gridCol w:w="1456"/>
        <w:gridCol w:w="109"/>
        <w:gridCol w:w="3316"/>
      </w:tblGrid>
      <w:tr>
        <w:trPr/>
        <w:tc>
          <w:tcPr>
            <w:tcW w:w="3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HRTX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The Nasdaq</w:t>
            </w:r>
            <w:r>
              <w:rPr>
                <w:rFonts w:ascii="Times New Roman" w:hAnsi="Times New Roman"/>
                <w:color w:val="000000"/>
                <w:sz w:val="20"/>
              </w:rPr>
              <w:t> </w:t>
            </w:r>
            <w:r>
              <w:rPr>
                <w:rFonts w:ascii="Times New Roman" w:hAnsi="Times New Roman"/>
                <w:b/>
                <w:color w:val="000000"/>
                <w:sz w:val="20"/>
              </w:rPr>
              <w:t>Capital Market</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On August 10, 2026, Heron Therapeutics, Inc. issued a press release announcing its financial results for the three and six months ended June 30, 2026 (“Earnings Press Release”). A copy of the Earnings Press Release is furnished as Exhibit 99.1.</w:t>
      </w:r>
    </w:p>
    <w:p>
      <w:pPr>
        <w:pStyle w:val="TextBody"/>
        <w:bidi w:val="0"/>
        <w:jc w:val="left"/>
        <w:rPr>
          <w:rFonts w:ascii="Times New Roman" w:hAnsi="Times New Roman"/>
          <w:color w:val="000000"/>
          <w:sz w:val="20"/>
        </w:rPr>
      </w:pPr>
      <w:r>
        <w:rPr>
          <w:rFonts w:ascii="Times New Roman" w:hAnsi="Times New Roman"/>
          <w:color w:val="000000"/>
          <w:sz w:val="20"/>
        </w:rPr>
        <w:t>The information in this Item 2.02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jc w:val="left"/>
        <w:rPr/>
      </w:pPr>
      <w:r>
        <w:rPr/>
        <w:t> </w:t>
      </w:r>
    </w:p>
    <w:tbl>
      <w:tblPr>
        <w:tblW w:w="8019" w:type="dxa"/>
        <w:jc w:val="left"/>
        <w:tblInd w:w="0" w:type="dxa"/>
        <w:tblLayout w:type="fixed"/>
        <w:tblCellMar>
          <w:top w:w="28" w:type="dxa"/>
          <w:left w:w="28" w:type="dxa"/>
          <w:bottom w:w="28" w:type="dxa"/>
          <w:right w:w="28" w:type="dxa"/>
        </w:tblCellMar>
      </w:tblPr>
      <w:tblGrid>
        <w:gridCol w:w="1081"/>
        <w:gridCol w:w="146"/>
        <w:gridCol w:w="6601"/>
        <w:gridCol w:w="1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hrtx-ex99_1.htm">
              <w:r>
                <w:rPr>
                  <w:rStyle w:val="InternetLink"/>
                  <w:rFonts w:ascii="Times New Roman" w:hAnsi="Times New Roman"/>
                  <w:color w:val="0000FF"/>
                  <w:sz w:val="20"/>
                  <w:u w:val="single"/>
                </w:rPr>
                <w:t>Press Release, dated August 10, 2026</w:t>
              </w:r>
            </w:hyperlink>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6310" w:type="dxa"/>
        <w:jc w:val="left"/>
        <w:tblInd w:w="0" w:type="dxa"/>
        <w:tblLayout w:type="fixed"/>
        <w:tblCellMar>
          <w:top w:w="28" w:type="dxa"/>
          <w:left w:w="28" w:type="dxa"/>
          <w:bottom w:w="28" w:type="dxa"/>
          <w:right w:w="28" w:type="dxa"/>
        </w:tblCellMar>
      </w:tblPr>
      <w:tblGrid>
        <w:gridCol w:w="1951"/>
        <w:gridCol w:w="109"/>
        <w:gridCol w:w="109"/>
        <w:gridCol w:w="414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Heron Therapeutics, Inc.</w:t>
            </w:r>
          </w:p>
        </w:tc>
      </w:tr>
      <w:tr>
        <w:trPr/>
        <w:tc>
          <w:tcPr>
            <w:tcW w:w="6310"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Ira Duarte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Ira Duarte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w:t>
            </w:r>
          </w:p>
        </w:tc>
      </w:tr>
    </w:tbl>
    <w:p>
      <w:pPr>
        <w:pStyle w:val="TextBody"/>
        <w:pBdr>
          <w:bottom w:val="single" w:sz="8" w:space="1" w:color="80808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 w:name="hrtx-ex99_1.htm"/>
      <w:bookmarkStart w:id="3" w:name="kshrtxex99_1"/>
      <w:bookmarkEnd w:id="2"/>
      <w:bookmarkEnd w:id="3"/>
      <w:r>
        <w:rPr>
          <w:rFonts w:ascii="Arial" w:hAnsi="Arial"/>
          <w:b/>
          <w:color w:val="000000"/>
          <w:sz w:val="20"/>
        </w:rPr>
        <w:t>Exhibit 99.1</w:t>
      </w:r>
      <w:r>
        <w:br w:type="page"/>
      </w:r>
    </w:p>
    <w:p>
      <w:pPr>
        <w:pStyle w:val="TextBody"/>
        <w:bidi w:val="0"/>
        <w:jc w:val="center"/>
        <w:rPr>
          <w:rFonts w:ascii="Arial" w:hAnsi="Arial"/>
          <w:b/>
          <w:color w:val="000000"/>
          <w:sz w:val="24"/>
        </w:rPr>
      </w:pPr>
      <w:r>
        <w:rPr>
          <w:rFonts w:ascii="Arial" w:hAnsi="Arial"/>
          <w:b/>
          <w:color w:val="000000"/>
          <w:sz w:val="24"/>
        </w:rPr>
        <w:t>Heron Therapeutics Announces Second Quarter 2026 Financial Results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pPr>
      <w:r>
        <w:rPr>
          <w:rFonts w:ascii="Arial" w:hAnsi="Arial"/>
          <w:i/>
          <w:color w:val="000000"/>
          <w:sz w:val="20"/>
        </w:rPr>
        <w:t>Q2 2026 net revenue of $37.7 million, up 9% from the first quarter of 2026; ZYNRELEF</w:t>
      </w:r>
      <w:r>
        <w:rPr>
          <w:rFonts w:ascii="Arial" w:hAnsi="Arial"/>
          <w:i/>
          <w:color w:val="000000"/>
          <w:sz w:val="13"/>
        </w:rPr>
        <w:t>®</w:t>
      </w:r>
      <w:r>
        <w:rPr>
          <w:color w:val="000000"/>
        </w:rPr>
        <w:t xml:space="preserve"> </w:t>
      </w:r>
      <w:r>
        <w:rPr>
          <w:rFonts w:ascii="Arial" w:hAnsi="Arial"/>
          <w:i/>
          <w:color w:val="000000"/>
          <w:sz w:val="20"/>
        </w:rPr>
        <w:t>net revenue grew 35% and APONVIE</w:t>
      </w:r>
      <w:r>
        <w:rPr>
          <w:rFonts w:ascii="Arial" w:hAnsi="Arial"/>
          <w:i/>
          <w:color w:val="000000"/>
          <w:sz w:val="13"/>
        </w:rPr>
        <w:t>®</w:t>
      </w:r>
      <w:r>
        <w:rPr>
          <w:color w:val="000000"/>
        </w:rPr>
        <w:t xml:space="preserve"> </w:t>
      </w:r>
      <w:r>
        <w:rPr>
          <w:rFonts w:ascii="Arial" w:hAnsi="Arial"/>
          <w:i/>
          <w:color w:val="000000"/>
          <w:sz w:val="20"/>
        </w:rPr>
        <w:t>net revenue grew 74% year-over-year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rFonts w:ascii="Arial" w:hAnsi="Arial"/>
          <w:i/>
          <w:color w:val="000000"/>
          <w:sz w:val="20"/>
        </w:rPr>
      </w:pPr>
      <w:r>
        <w:rPr>
          <w:rFonts w:ascii="Arial" w:hAnsi="Arial"/>
          <w:i/>
          <w:color w:val="000000"/>
          <w:sz w:val="20"/>
        </w:rPr>
        <w:t>Amended credit facility with Hercules Capital: financial covenants reset through 2027, and outstanding principal to be reduced by a total potential reduction of $17.5 million — $13.5 million at execution and a potential further reduction of $4 million scheduled on or before September 15,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jc w:val="left"/>
        <w:rPr>
          <w:rFonts w:ascii="Arial" w:hAnsi="Arial"/>
          <w:i/>
          <w:color w:val="000000"/>
          <w:sz w:val="20"/>
        </w:rPr>
      </w:pPr>
      <w:r>
        <w:rPr>
          <w:rFonts w:ascii="Arial" w:hAnsi="Arial"/>
          <w:i/>
          <w:color w:val="000000"/>
          <w:sz w:val="20"/>
        </w:rPr>
        <w:t>Withdrew full-year 2026 financial guidance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CARY, N.C., August 10, 2026 (GLOBE NEWSWIRE) - Heron Therapeutics, Inc. (Nasdaq: HRTX) (“Heron” or the “Company”), a commercial-stage biotechnology company, today announced financial results for the three and six months ended June 30, 2026, and highlighted recent corporate updates.</w:t>
      </w:r>
    </w:p>
    <w:p>
      <w:pPr>
        <w:pStyle w:val="TextBody"/>
        <w:bidi w:val="0"/>
        <w:jc w:val="both"/>
        <w:rPr/>
      </w:pPr>
      <w:r>
        <w:rPr/>
        <w:t> </w:t>
      </w:r>
    </w:p>
    <w:p>
      <w:pPr>
        <w:pStyle w:val="TextBody"/>
        <w:bidi w:val="0"/>
        <w:jc w:val="both"/>
        <w:rPr>
          <w:color w:val="000000"/>
        </w:rPr>
      </w:pPr>
      <w:r>
        <w:rPr>
          <w:color w:val="000000"/>
        </w:rPr>
        <w:t>“</w:t>
      </w:r>
      <w:r>
        <w:rPr>
          <w:rFonts w:ascii="Arial" w:hAnsi="Arial"/>
          <w:color w:val="000000"/>
          <w:sz w:val="20"/>
        </w:rPr>
        <w:t>Second quarter revenue grew compared to the first quarter but came in below our expectations,” said Craig Collard, Chief Executive Officer of Heron. “What we did over the past ninety days matters more: we reset our balance sheet, tightened our spending, and we are considering strategic alternatives as we continue to execute our current plan. Our job now is execution.”</w:t>
      </w:r>
    </w:p>
    <w:p>
      <w:pPr>
        <w:pStyle w:val="TextBody"/>
        <w:bidi w:val="0"/>
        <w:jc w:val="left"/>
        <w:rPr>
          <w:rFonts w:ascii="Arial" w:hAnsi="Arial"/>
          <w:b/>
          <w:i/>
          <w:color w:val="000000"/>
          <w:sz w:val="20"/>
        </w:rPr>
      </w:pPr>
      <w:r>
        <w:rPr>
          <w:rFonts w:ascii="Arial" w:hAnsi="Arial"/>
          <w:b/>
          <w:i/>
          <w:color w:val="000000"/>
          <w:sz w:val="20"/>
        </w:rPr>
        <w:t>Business Highlights</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0"/>
        </w:rPr>
        <w:t>Heron generated total net revenue of $37.7 million</w:t>
      </w:r>
      <w:r>
        <w:rPr>
          <w:color w:val="000000"/>
        </w:rPr>
        <w:t xml:space="preserve"> </w:t>
      </w:r>
      <w:r>
        <w:rPr>
          <w:rFonts w:ascii="Arial" w:hAnsi="Arial"/>
          <w:color w:val="000000"/>
          <w:sz w:val="20"/>
        </w:rPr>
        <w:t xml:space="preserve">in Q2 2026 and ended the quarter with $42.7 million in cash, cash equivalents and short-term investments.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0"/>
        </w:rPr>
        <w:t>Acute Care franchise updates</w:t>
      </w:r>
      <w:r>
        <w:rPr>
          <w:rFonts w:ascii="Arial" w:hAnsi="Arial"/>
          <w:color w:val="000000"/>
          <w:sz w:val="20"/>
        </w:rPr>
        <w:t>: Net revenue increased 43.9% year-over-year for the three months ended June 30, 2026 and increased 38.2% year-over-year for the six months ended June 30, 2026. ZYNRELEF</w:t>
      </w:r>
      <w:r>
        <w:rPr>
          <w:rFonts w:ascii="Arial" w:hAnsi="Arial"/>
          <w:color w:val="000000"/>
          <w:sz w:val="13"/>
        </w:rPr>
        <w:t>®</w:t>
      </w:r>
      <w:r>
        <w:rPr>
          <w:color w:val="000000"/>
        </w:rPr>
        <w:t xml:space="preserve"> </w:t>
      </w:r>
      <w:r>
        <w:rPr>
          <w:rFonts w:ascii="Arial" w:hAnsi="Arial"/>
          <w:color w:val="000000"/>
          <w:sz w:val="20"/>
        </w:rPr>
        <w:t>contributed $11.1 million and $21.3 million net revenue in the three and six months ended June 30, 2026, respectively. APONVIE</w:t>
      </w:r>
      <w:r>
        <w:rPr>
          <w:rFonts w:ascii="Arial" w:hAnsi="Arial"/>
          <w:color w:val="000000"/>
          <w:sz w:val="13"/>
        </w:rPr>
        <w:t>®</w:t>
      </w:r>
      <w:r>
        <w:rPr>
          <w:color w:val="000000"/>
        </w:rPr>
        <w:t xml:space="preserve"> </w:t>
      </w:r>
      <w:r>
        <w:rPr>
          <w:rFonts w:ascii="Arial" w:hAnsi="Arial"/>
          <w:color w:val="000000"/>
          <w:sz w:val="20"/>
        </w:rPr>
        <w:t>contributed $4.2 million and $7.7 million net revenue in the three and six months ended June 30, 2026, respectively.</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0"/>
        </w:rPr>
        <w:t>Oncology Supportive Care franchise updates</w:t>
      </w:r>
      <w:r>
        <w:rPr>
          <w:rFonts w:ascii="Arial" w:hAnsi="Arial"/>
          <w:color w:val="000000"/>
          <w:sz w:val="20"/>
        </w:rPr>
        <w:t xml:space="preserve">: Net revenue was $22.3 million in the three months ended June 30, 2026 and $43.4 million in the six months ended June 30, 2026. </w:t>
      </w:r>
    </w:p>
    <w:p>
      <w:pPr>
        <w:pStyle w:val="TextBody"/>
        <w:bidi w:val="0"/>
        <w:jc w:val="left"/>
        <w:rPr/>
      </w:pPr>
      <w:r>
        <w:rPr/>
        <w:t> </w:t>
      </w:r>
    </w:p>
    <w:p>
      <w:pPr>
        <w:pStyle w:val="TextBody"/>
        <w:bidi w:val="0"/>
        <w:jc w:val="both"/>
        <w:rPr/>
      </w:pPr>
      <w:r>
        <w:rPr/>
        <w:t> </w:t>
      </w:r>
    </w:p>
    <w:p>
      <w:pPr>
        <w:pStyle w:val="TextBody"/>
        <w:bidi w:val="0"/>
        <w:jc w:val="left"/>
        <w:rPr>
          <w:rFonts w:ascii="Arial" w:hAnsi="Arial"/>
          <w:b/>
          <w:i/>
          <w:color w:val="000000"/>
          <w:sz w:val="20"/>
        </w:rPr>
      </w:pPr>
      <w:r>
        <w:rPr>
          <w:rFonts w:ascii="Arial" w:hAnsi="Arial"/>
          <w:b/>
          <w:i/>
          <w:color w:val="000000"/>
          <w:sz w:val="20"/>
        </w:rPr>
        <w:t>Financial Guidance for 2026</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The Company is withdrawing its previously issued full-year 2026 guidance of net product sales and Adjusted EBITDA, and investors should no longer rely on that guidance. Three factors led to this decision. First, following the June 2026 decision of the U.S. District Court for the District of Delaware (the “Court”) regarding certain patents covering CINVANTI</w:t>
      </w:r>
      <w:r>
        <w:rPr>
          <w:rFonts w:ascii="Arial" w:hAnsi="Arial"/>
          <w:color w:val="000000"/>
          <w:sz w:val="13"/>
        </w:rPr>
        <w:t>®</w:t>
      </w:r>
      <w:r>
        <w:rPr>
          <w:rFonts w:ascii="Arial" w:hAnsi="Arial"/>
          <w:color w:val="000000"/>
          <w:sz w:val="20"/>
        </w:rPr>
        <w:t>, the Company does not believe it can reliably forecast the timing or terms of potential generic entry with respect to its largest product. Second, in response to the Court’s decision, the Company paused the sales force expansion that its operating plan had assumed for the second half of 2026 and tightened spending, and under which its previously issued guidance was built on. Third, the Company is considering strategic alternatives as it continues to execute its current plan. The Company has not set a timetable for this process, there can be no assurance that it will result in any transaction, and the Company does not intend to comment further on such matters unless and until it determines that additional disclosure is appropriate or required by law.</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6935" w:type="dxa"/>
        <w:jc w:val="left"/>
        <w:tblInd w:w="0" w:type="dxa"/>
        <w:tblLayout w:type="fixed"/>
        <w:tblCellMar>
          <w:top w:w="28" w:type="dxa"/>
          <w:left w:w="28" w:type="dxa"/>
          <w:bottom w:w="28" w:type="dxa"/>
          <w:right w:w="28" w:type="dxa"/>
        </w:tblCellMar>
      </w:tblPr>
      <w:tblGrid>
        <w:gridCol w:w="1801"/>
        <w:gridCol w:w="901"/>
        <w:gridCol w:w="856"/>
        <w:gridCol w:w="1426"/>
        <w:gridCol w:w="1951"/>
      </w:tblGrid>
      <w:tr>
        <w:trPr/>
        <w:tc>
          <w:tcPr>
            <w:tcW w:w="18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6935" w:type="dxa"/>
            <w:gridSpan w:val="5"/>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Arial" w:hAnsi="Arial"/>
                <w:b/>
                <w:i/>
                <w:color w:val="000000"/>
                <w:sz w:val="20"/>
              </w:rPr>
              <w:t>Net Revenue Performance – Three Months Ended June 30</w:t>
            </w:r>
            <w:r>
              <w:rPr>
                <w:rFonts w:ascii="Times New Roman" w:hAnsi="Times New Roman"/>
                <w:color w:val="000000"/>
                <w:sz w:val="20"/>
              </w:rPr>
              <w:t xml:space="preserve"> </w:t>
            </w:r>
          </w:p>
          <w:p>
            <w:pPr>
              <w:pStyle w:val="TableContents"/>
              <w:bidi w:val="0"/>
              <w:jc w:val="left"/>
              <w:rPr>
                <w:rFonts w:ascii="Arial" w:hAnsi="Arial"/>
                <w:i/>
                <w:color w:val="000000"/>
                <w:sz w:val="20"/>
              </w:rPr>
            </w:pPr>
            <w:r>
              <w:rPr>
                <w:rFonts w:ascii="Arial" w:hAnsi="Arial"/>
                <w:i/>
                <w:color w:val="000000"/>
                <w:sz w:val="20"/>
              </w:rPr>
              <w:t>(in thousands)</w:t>
            </w:r>
          </w:p>
          <w:p>
            <w:pPr>
              <w:pStyle w:val="TableContents"/>
              <w:bidi w:val="0"/>
              <w:jc w:val="left"/>
              <w:rPr>
                <w:rFonts w:ascii="Arial" w:hAnsi="Arial"/>
                <w:i/>
                <w:color w:val="000000"/>
                <w:sz w:val="20"/>
              </w:rPr>
            </w:pPr>
            <w:r>
              <w:rPr>
                <w:rFonts w:ascii="Arial" w:hAnsi="Arial"/>
                <w:i/>
                <w:color w:val="000000"/>
                <w:sz w:val="20"/>
              </w:rPr>
              <w:t>(unaudited)</w:t>
            </w:r>
          </w:p>
          <w:p>
            <w:pPr>
              <w:pStyle w:val="TableContents"/>
              <w:bidi w:val="0"/>
              <w:jc w:val="left"/>
              <w:rPr/>
            </w:pPr>
            <w:r>
              <w:rPr/>
              <w:t> </w:t>
            </w:r>
          </w:p>
          <w:p>
            <w:pPr>
              <w:pStyle w:val="TableContents"/>
              <w:bidi w:val="0"/>
              <w:spacing w:before="0" w:after="283"/>
              <w:jc w:val="left"/>
              <w:rPr/>
            </w:pPr>
            <w:r>
              <w:rPr/>
              <w:t> </w:t>
            </w:r>
          </w:p>
        </w:tc>
      </w:tr>
      <w:tr>
        <w:trPr/>
        <w:tc>
          <w:tcPr>
            <w:tcW w:w="1801" w:type="dxa"/>
            <w:tcBorders/>
            <w:tcMar>
              <w:top w:w="0" w:type="dxa"/>
              <w:left w:w="0" w:type="dxa"/>
              <w:bottom w:w="0" w:type="dxa"/>
              <w:right w:w="0" w:type="dxa"/>
            </w:tcMar>
            <w:vAlign w:val="center"/>
          </w:tcPr>
          <w:p>
            <w:pPr>
              <w:pStyle w:val="TableContents"/>
              <w:bidi w:val="0"/>
              <w:spacing w:before="0" w:after="283"/>
              <w:jc w:val="both"/>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Dollar Change</w:t>
            </w:r>
          </w:p>
        </w:tc>
        <w:tc>
          <w:tcPr>
            <w:tcW w:w="19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Percentage Change</w:t>
            </w:r>
          </w:p>
        </w:tc>
      </w:tr>
      <w:tr>
        <w:trPr/>
        <w:tc>
          <w:tcPr>
            <w:tcW w:w="1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tcMar>
              <w:top w:w="0" w:type="dxa"/>
              <w:left w:w="0" w:type="dxa"/>
              <w:bottom w:w="0" w:type="dxa"/>
              <w:right w:w="0" w:type="dxa"/>
            </w:tcMar>
            <w:vAlign w:val="center"/>
          </w:tcPr>
          <w:p>
            <w:pPr>
              <w:pStyle w:val="TableContents"/>
              <w:bidi w:val="0"/>
              <w:spacing w:before="0" w:after="283"/>
              <w:jc w:val="both"/>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tcMar>
              <w:top w:w="0" w:type="dxa"/>
              <w:left w:w="0" w:type="dxa"/>
              <w:bottom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Acute Care</w:t>
            </w:r>
          </w:p>
        </w:tc>
        <w:tc>
          <w:tcPr>
            <w:tcW w:w="90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$ 15,333</w:t>
            </w:r>
          </w:p>
        </w:tc>
        <w:tc>
          <w:tcPr>
            <w:tcW w:w="8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$ 10,653</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$ 4,680</w:t>
            </w:r>
          </w:p>
        </w:tc>
        <w:tc>
          <w:tcPr>
            <w:tcW w:w="195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43.9%</w:t>
            </w:r>
          </w:p>
        </w:tc>
      </w:tr>
      <w:tr>
        <w:trPr/>
        <w:tc>
          <w:tcPr>
            <w:tcW w:w="180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APONVIE</w:t>
            </w:r>
          </w:p>
        </w:tc>
        <w:tc>
          <w:tcPr>
            <w:tcW w:w="90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$ 4,277</w:t>
            </w:r>
          </w:p>
        </w:tc>
        <w:tc>
          <w:tcPr>
            <w:tcW w:w="85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$ 2,464</w:t>
            </w:r>
          </w:p>
        </w:tc>
        <w:tc>
          <w:tcPr>
            <w:tcW w:w="142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$ 1,813</w:t>
            </w:r>
          </w:p>
        </w:tc>
        <w:tc>
          <w:tcPr>
            <w:tcW w:w="195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73.6%</w:t>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ZYNRELEF</w:t>
            </w:r>
          </w:p>
        </w:tc>
        <w:tc>
          <w:tcPr>
            <w:tcW w:w="9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$ 11,056</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$ 8,189</w:t>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$ 2,867</w:t>
            </w:r>
          </w:p>
        </w:tc>
        <w:tc>
          <w:tcPr>
            <w:tcW w:w="19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35.0%</w:t>
            </w:r>
          </w:p>
        </w:tc>
      </w:tr>
      <w:tr>
        <w:trPr/>
        <w:tc>
          <w:tcPr>
            <w:tcW w:w="1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tcMar>
              <w:top w:w="0" w:type="dxa"/>
              <w:left w:w="0" w:type="dxa"/>
              <w:bottom w:w="0" w:type="dxa"/>
              <w:right w:w="0" w:type="dxa"/>
            </w:tcMar>
            <w:vAlign w:val="center"/>
          </w:tcPr>
          <w:p>
            <w:pPr>
              <w:pStyle w:val="TableContents"/>
              <w:bidi w:val="0"/>
              <w:spacing w:before="0" w:after="283"/>
              <w:jc w:val="both"/>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tcMar>
              <w:top w:w="0" w:type="dxa"/>
              <w:left w:w="0" w:type="dxa"/>
              <w:bottom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Oncology</w:t>
            </w:r>
          </w:p>
        </w:tc>
        <w:tc>
          <w:tcPr>
            <w:tcW w:w="90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$ 22,333</w:t>
            </w:r>
          </w:p>
        </w:tc>
        <w:tc>
          <w:tcPr>
            <w:tcW w:w="8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$ 26,547</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($ 4,214)</w:t>
            </w:r>
            <w:r>
              <w:rPr>
                <w:rFonts w:ascii="Times New Roman" w:hAnsi="Times New Roman"/>
                <w:color w:val="000000"/>
                <w:sz w:val="20"/>
              </w:rPr>
              <w:t xml:space="preserve"> </w:t>
            </w:r>
          </w:p>
        </w:tc>
        <w:tc>
          <w:tcPr>
            <w:tcW w:w="195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(15.9%)</w:t>
            </w:r>
          </w:p>
        </w:tc>
      </w:tr>
      <w:tr>
        <w:trPr/>
        <w:tc>
          <w:tcPr>
            <w:tcW w:w="180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CINVANTI</w:t>
            </w:r>
          </w:p>
        </w:tc>
        <w:tc>
          <w:tcPr>
            <w:tcW w:w="90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$ 21,793</w:t>
            </w:r>
            <w:r>
              <w:rPr>
                <w:rFonts w:ascii="Times New Roman" w:hAnsi="Times New Roman"/>
                <w:color w:val="000000"/>
                <w:sz w:val="20"/>
              </w:rPr>
              <w:t xml:space="preserve"> </w:t>
            </w:r>
          </w:p>
        </w:tc>
        <w:tc>
          <w:tcPr>
            <w:tcW w:w="85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$ 24,143</w:t>
            </w:r>
          </w:p>
        </w:tc>
        <w:tc>
          <w:tcPr>
            <w:tcW w:w="142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($ 2,350)</w:t>
            </w:r>
            <w:r>
              <w:rPr>
                <w:rFonts w:ascii="Times New Roman" w:hAnsi="Times New Roman"/>
                <w:color w:val="000000"/>
                <w:sz w:val="20"/>
              </w:rPr>
              <w:t xml:space="preserve"> </w:t>
            </w:r>
          </w:p>
        </w:tc>
        <w:tc>
          <w:tcPr>
            <w:tcW w:w="195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(9.7%)</w:t>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SUSTOL</w:t>
            </w:r>
          </w:p>
        </w:tc>
        <w:tc>
          <w:tcPr>
            <w:tcW w:w="9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$ 540</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$ 2,404</w:t>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($ 1,864)</w:t>
            </w:r>
            <w:r>
              <w:rPr>
                <w:rFonts w:ascii="Times New Roman" w:hAnsi="Times New Roman"/>
                <w:color w:val="000000"/>
                <w:sz w:val="20"/>
              </w:rPr>
              <w:t xml:space="preserve"> </w:t>
            </w:r>
          </w:p>
        </w:tc>
        <w:tc>
          <w:tcPr>
            <w:tcW w:w="19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(77.5%)</w:t>
            </w:r>
          </w:p>
        </w:tc>
      </w:tr>
      <w:tr>
        <w:trPr/>
        <w:tc>
          <w:tcPr>
            <w:tcW w:w="1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tcMar>
              <w:top w:w="0" w:type="dxa"/>
              <w:left w:w="0" w:type="dxa"/>
              <w:bottom w:w="0" w:type="dxa"/>
              <w:right w:w="0" w:type="dxa"/>
            </w:tcMar>
            <w:vAlign w:val="center"/>
          </w:tcPr>
          <w:p>
            <w:pPr>
              <w:pStyle w:val="TableContents"/>
              <w:bidi w:val="0"/>
              <w:spacing w:before="0" w:after="283"/>
              <w:jc w:val="both"/>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top w:val="single" w:sz="4" w:space="0" w:color="000000"/>
              <w:bottom w:val="single" w:sz="4" w:space="0" w:color="000000"/>
            </w:tcBorders>
            <w:shd w:fill="E8E8E8" w:val="clear"/>
            <w:tcMar>
              <w:left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Total Net Revenue</w:t>
            </w:r>
          </w:p>
        </w:tc>
        <w:tc>
          <w:tcPr>
            <w:tcW w:w="901" w:type="dxa"/>
            <w:tcBorders>
              <w:top w:val="single" w:sz="4" w:space="0" w:color="000000"/>
              <w:bottom w:val="single" w:sz="4" w:space="0" w:color="000000"/>
            </w:tcBorders>
            <w:shd w:fill="E8E8E8" w:val="clear"/>
            <w:tcMar>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$ 37,666</w:t>
            </w:r>
          </w:p>
        </w:tc>
        <w:tc>
          <w:tcPr>
            <w:tcW w:w="856" w:type="dxa"/>
            <w:tcBorders>
              <w:top w:val="single" w:sz="4" w:space="0" w:color="000000"/>
              <w:bottom w:val="single" w:sz="4" w:space="0" w:color="000000"/>
            </w:tcBorders>
            <w:shd w:fill="E8E8E8" w:val="clear"/>
            <w:tcMar>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$ 37,200</w:t>
            </w:r>
          </w:p>
        </w:tc>
        <w:tc>
          <w:tcPr>
            <w:tcW w:w="1426" w:type="dxa"/>
            <w:tcBorders>
              <w:top w:val="single" w:sz="4" w:space="0" w:color="000000"/>
              <w:bottom w:val="single" w:sz="4" w:space="0" w:color="000000"/>
            </w:tcBorders>
            <w:shd w:fill="E8E8E8" w:val="clear"/>
            <w:tcMar>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$ 466</w:t>
            </w:r>
            <w:r>
              <w:rPr>
                <w:rFonts w:ascii="Times New Roman" w:hAnsi="Times New Roman"/>
                <w:color w:val="000000"/>
                <w:sz w:val="20"/>
              </w:rPr>
              <w:t xml:space="preserve"> </w:t>
            </w:r>
          </w:p>
        </w:tc>
        <w:tc>
          <w:tcPr>
            <w:tcW w:w="1951" w:type="dxa"/>
            <w:tcBorders>
              <w:top w:val="single" w:sz="4" w:space="0" w:color="000000"/>
              <w:bottom w:val="single" w:sz="4" w:space="0" w:color="000000"/>
            </w:tcBorders>
            <w:shd w:fill="E8E8E8" w:val="clear"/>
            <w:tcMar>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1.3%</w:t>
            </w:r>
          </w:p>
        </w:tc>
      </w:tr>
    </w:tbl>
    <w:p>
      <w:pPr>
        <w:pStyle w:val="TextBody"/>
        <w:bidi w:val="0"/>
        <w:jc w:val="left"/>
        <w:rPr/>
      </w:pPr>
      <w:r>
        <w:rPr/>
        <w:t> </w:t>
      </w:r>
    </w:p>
    <w:p>
      <w:pPr>
        <w:pStyle w:val="TextBody"/>
        <w:bidi w:val="0"/>
        <w:jc w:val="left"/>
        <w:rPr/>
      </w:pPr>
      <w:r>
        <w:rPr/>
        <w:t> </w:t>
      </w:r>
    </w:p>
    <w:tbl>
      <w:tblPr>
        <w:tblW w:w="6935" w:type="dxa"/>
        <w:jc w:val="left"/>
        <w:tblInd w:w="0" w:type="dxa"/>
        <w:tblLayout w:type="fixed"/>
        <w:tblCellMar>
          <w:top w:w="28" w:type="dxa"/>
          <w:left w:w="28" w:type="dxa"/>
          <w:bottom w:w="28" w:type="dxa"/>
          <w:right w:w="28" w:type="dxa"/>
        </w:tblCellMar>
      </w:tblPr>
      <w:tblGrid>
        <w:gridCol w:w="1801"/>
        <w:gridCol w:w="901"/>
        <w:gridCol w:w="856"/>
        <w:gridCol w:w="1426"/>
        <w:gridCol w:w="1951"/>
      </w:tblGrid>
      <w:tr>
        <w:trPr/>
        <w:tc>
          <w:tcPr>
            <w:tcW w:w="18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6935" w:type="dxa"/>
            <w:gridSpan w:val="5"/>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Arial" w:hAnsi="Arial"/>
                <w:b/>
                <w:i/>
                <w:color w:val="000000"/>
                <w:sz w:val="20"/>
              </w:rPr>
              <w:t>Net Revenue Performance – Six Months Ended June 30</w:t>
            </w:r>
            <w:r>
              <w:rPr>
                <w:rFonts w:ascii="Times New Roman" w:hAnsi="Times New Roman"/>
                <w:color w:val="000000"/>
                <w:sz w:val="20"/>
              </w:rPr>
              <w:t xml:space="preserve"> </w:t>
            </w:r>
          </w:p>
          <w:p>
            <w:pPr>
              <w:pStyle w:val="TableContents"/>
              <w:bidi w:val="0"/>
              <w:jc w:val="left"/>
              <w:rPr>
                <w:rFonts w:ascii="Arial" w:hAnsi="Arial"/>
                <w:i/>
                <w:color w:val="000000"/>
                <w:sz w:val="20"/>
              </w:rPr>
            </w:pPr>
            <w:r>
              <w:rPr>
                <w:rFonts w:ascii="Arial" w:hAnsi="Arial"/>
                <w:i/>
                <w:color w:val="000000"/>
                <w:sz w:val="20"/>
              </w:rPr>
              <w:t>(in thousands)</w:t>
            </w:r>
          </w:p>
          <w:p>
            <w:pPr>
              <w:pStyle w:val="TableContents"/>
              <w:bidi w:val="0"/>
              <w:jc w:val="left"/>
              <w:rPr>
                <w:rFonts w:ascii="Arial" w:hAnsi="Arial"/>
                <w:i/>
                <w:color w:val="000000"/>
                <w:sz w:val="20"/>
              </w:rPr>
            </w:pPr>
            <w:r>
              <w:rPr>
                <w:rFonts w:ascii="Arial" w:hAnsi="Arial"/>
                <w:i/>
                <w:color w:val="000000"/>
                <w:sz w:val="20"/>
              </w:rPr>
              <w:t>(unaudited)</w:t>
            </w:r>
          </w:p>
          <w:p>
            <w:pPr>
              <w:pStyle w:val="TableContents"/>
              <w:bidi w:val="0"/>
              <w:jc w:val="left"/>
              <w:rPr/>
            </w:pPr>
            <w:r>
              <w:rPr/>
              <w:t> </w:t>
            </w:r>
          </w:p>
          <w:p>
            <w:pPr>
              <w:pStyle w:val="TableContents"/>
              <w:bidi w:val="0"/>
              <w:spacing w:before="0" w:after="283"/>
              <w:jc w:val="left"/>
              <w:rPr/>
            </w:pPr>
            <w:r>
              <w:rPr/>
              <w:t> </w:t>
            </w:r>
          </w:p>
        </w:tc>
      </w:tr>
      <w:tr>
        <w:trPr/>
        <w:tc>
          <w:tcPr>
            <w:tcW w:w="1801" w:type="dxa"/>
            <w:tcBorders/>
            <w:tcMar>
              <w:top w:w="0" w:type="dxa"/>
              <w:left w:w="0" w:type="dxa"/>
              <w:bottom w:w="0" w:type="dxa"/>
              <w:right w:w="0" w:type="dxa"/>
            </w:tcMar>
            <w:vAlign w:val="center"/>
          </w:tcPr>
          <w:p>
            <w:pPr>
              <w:pStyle w:val="TableContents"/>
              <w:bidi w:val="0"/>
              <w:spacing w:before="0" w:after="283"/>
              <w:jc w:val="both"/>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Dollar Change</w:t>
            </w:r>
          </w:p>
        </w:tc>
        <w:tc>
          <w:tcPr>
            <w:tcW w:w="19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Percentage Change</w:t>
            </w:r>
          </w:p>
        </w:tc>
      </w:tr>
      <w:tr>
        <w:trPr/>
        <w:tc>
          <w:tcPr>
            <w:tcW w:w="1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tcMar>
              <w:top w:w="0" w:type="dxa"/>
              <w:left w:w="0" w:type="dxa"/>
              <w:bottom w:w="0" w:type="dxa"/>
              <w:right w:w="0" w:type="dxa"/>
            </w:tcMar>
            <w:vAlign w:val="center"/>
          </w:tcPr>
          <w:p>
            <w:pPr>
              <w:pStyle w:val="TableContents"/>
              <w:bidi w:val="0"/>
              <w:spacing w:before="0" w:after="283"/>
              <w:jc w:val="both"/>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tcMar>
              <w:top w:w="0" w:type="dxa"/>
              <w:left w:w="0" w:type="dxa"/>
              <w:bottom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Acute Care</w:t>
            </w:r>
          </w:p>
        </w:tc>
        <w:tc>
          <w:tcPr>
            <w:tcW w:w="90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$ 28,961</w:t>
            </w:r>
          </w:p>
        </w:tc>
        <w:tc>
          <w:tcPr>
            <w:tcW w:w="8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$ 20,954</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$ 8,007</w:t>
            </w:r>
          </w:p>
        </w:tc>
        <w:tc>
          <w:tcPr>
            <w:tcW w:w="195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38.2%</w:t>
            </w:r>
          </w:p>
        </w:tc>
      </w:tr>
      <w:tr>
        <w:trPr/>
        <w:tc>
          <w:tcPr>
            <w:tcW w:w="180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APONVIE</w:t>
            </w:r>
          </w:p>
        </w:tc>
        <w:tc>
          <w:tcPr>
            <w:tcW w:w="90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$ 7,670</w:t>
            </w:r>
          </w:p>
        </w:tc>
        <w:tc>
          <w:tcPr>
            <w:tcW w:w="85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$ 4,724</w:t>
            </w:r>
          </w:p>
        </w:tc>
        <w:tc>
          <w:tcPr>
            <w:tcW w:w="142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$ 2,946</w:t>
            </w:r>
          </w:p>
        </w:tc>
        <w:tc>
          <w:tcPr>
            <w:tcW w:w="195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62.4%</w:t>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ZYNRELEF</w:t>
            </w:r>
          </w:p>
        </w:tc>
        <w:tc>
          <w:tcPr>
            <w:tcW w:w="9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$ 21,291</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$ 16,230</w:t>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$ 5,061</w:t>
            </w:r>
          </w:p>
        </w:tc>
        <w:tc>
          <w:tcPr>
            <w:tcW w:w="19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31.2%</w:t>
            </w:r>
          </w:p>
        </w:tc>
      </w:tr>
      <w:tr>
        <w:trPr/>
        <w:tc>
          <w:tcPr>
            <w:tcW w:w="1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tcMar>
              <w:top w:w="0" w:type="dxa"/>
              <w:left w:w="0" w:type="dxa"/>
              <w:bottom w:w="0" w:type="dxa"/>
              <w:right w:w="0" w:type="dxa"/>
            </w:tcMar>
            <w:vAlign w:val="center"/>
          </w:tcPr>
          <w:p>
            <w:pPr>
              <w:pStyle w:val="TableContents"/>
              <w:bidi w:val="0"/>
              <w:spacing w:before="0" w:after="283"/>
              <w:jc w:val="both"/>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tcMar>
              <w:top w:w="0" w:type="dxa"/>
              <w:left w:w="0" w:type="dxa"/>
              <w:bottom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Oncology</w:t>
            </w:r>
          </w:p>
        </w:tc>
        <w:tc>
          <w:tcPr>
            <w:tcW w:w="90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$ 43,416</w:t>
            </w:r>
          </w:p>
        </w:tc>
        <w:tc>
          <w:tcPr>
            <w:tcW w:w="8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$ 55,149</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($ 11,733)</w:t>
            </w:r>
            <w:r>
              <w:rPr>
                <w:rFonts w:ascii="Times New Roman" w:hAnsi="Times New Roman"/>
                <w:color w:val="000000"/>
                <w:sz w:val="20"/>
              </w:rPr>
              <w:t xml:space="preserve"> </w:t>
            </w:r>
          </w:p>
        </w:tc>
        <w:tc>
          <w:tcPr>
            <w:tcW w:w="195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(21.3%)</w:t>
            </w:r>
          </w:p>
        </w:tc>
      </w:tr>
      <w:tr>
        <w:trPr/>
        <w:tc>
          <w:tcPr>
            <w:tcW w:w="180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CINVANTI</w:t>
            </w:r>
          </w:p>
        </w:tc>
        <w:tc>
          <w:tcPr>
            <w:tcW w:w="90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$ 42,328</w:t>
            </w:r>
            <w:r>
              <w:rPr>
                <w:rFonts w:ascii="Times New Roman" w:hAnsi="Times New Roman"/>
                <w:color w:val="000000"/>
                <w:sz w:val="20"/>
              </w:rPr>
              <w:t xml:space="preserve"> </w:t>
            </w:r>
          </w:p>
        </w:tc>
        <w:tc>
          <w:tcPr>
            <w:tcW w:w="85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$ 49,886</w:t>
            </w:r>
          </w:p>
        </w:tc>
        <w:tc>
          <w:tcPr>
            <w:tcW w:w="142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($ 7,558)</w:t>
            </w:r>
            <w:r>
              <w:rPr>
                <w:rFonts w:ascii="Times New Roman" w:hAnsi="Times New Roman"/>
                <w:color w:val="000000"/>
                <w:sz w:val="20"/>
              </w:rPr>
              <w:t xml:space="preserve"> </w:t>
            </w:r>
          </w:p>
        </w:tc>
        <w:tc>
          <w:tcPr>
            <w:tcW w:w="195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(15.2%)</w:t>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SUSTOL</w:t>
            </w:r>
          </w:p>
        </w:tc>
        <w:tc>
          <w:tcPr>
            <w:tcW w:w="9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$ 1,088</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$ 5,263</w:t>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($ 4,175)</w:t>
            </w:r>
            <w:r>
              <w:rPr>
                <w:rFonts w:ascii="Times New Roman" w:hAnsi="Times New Roman"/>
                <w:color w:val="000000"/>
                <w:sz w:val="20"/>
              </w:rPr>
              <w:t xml:space="preserve"> </w:t>
            </w:r>
          </w:p>
        </w:tc>
        <w:tc>
          <w:tcPr>
            <w:tcW w:w="19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(79.3%)</w:t>
            </w:r>
          </w:p>
        </w:tc>
      </w:tr>
      <w:tr>
        <w:trPr/>
        <w:tc>
          <w:tcPr>
            <w:tcW w:w="1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tcMar>
              <w:top w:w="0" w:type="dxa"/>
              <w:left w:w="0" w:type="dxa"/>
              <w:bottom w:w="0" w:type="dxa"/>
              <w:right w:w="0" w:type="dxa"/>
            </w:tcMar>
            <w:vAlign w:val="center"/>
          </w:tcPr>
          <w:p>
            <w:pPr>
              <w:pStyle w:val="TableContents"/>
              <w:bidi w:val="0"/>
              <w:spacing w:before="0" w:after="283"/>
              <w:jc w:val="both"/>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top w:val="single" w:sz="4" w:space="0" w:color="000000"/>
              <w:bottom w:val="single" w:sz="4" w:space="0" w:color="000000"/>
            </w:tcBorders>
            <w:shd w:fill="E8E8E8" w:val="clear"/>
            <w:tcMar>
              <w:left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Total Net Revenue</w:t>
            </w:r>
          </w:p>
        </w:tc>
        <w:tc>
          <w:tcPr>
            <w:tcW w:w="901" w:type="dxa"/>
            <w:tcBorders>
              <w:top w:val="single" w:sz="4" w:space="0" w:color="000000"/>
              <w:bottom w:val="single" w:sz="4" w:space="0" w:color="000000"/>
            </w:tcBorders>
            <w:shd w:fill="E8E8E8" w:val="clear"/>
            <w:tcMar>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$ 72,377</w:t>
            </w:r>
          </w:p>
        </w:tc>
        <w:tc>
          <w:tcPr>
            <w:tcW w:w="856" w:type="dxa"/>
            <w:tcBorders>
              <w:top w:val="single" w:sz="4" w:space="0" w:color="000000"/>
              <w:bottom w:val="single" w:sz="4" w:space="0" w:color="000000"/>
            </w:tcBorders>
            <w:shd w:fill="E8E8E8" w:val="clear"/>
            <w:tcMar>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$ 76,103</w:t>
            </w:r>
          </w:p>
        </w:tc>
        <w:tc>
          <w:tcPr>
            <w:tcW w:w="1426" w:type="dxa"/>
            <w:tcBorders>
              <w:top w:val="single" w:sz="4" w:space="0" w:color="000000"/>
              <w:bottom w:val="single" w:sz="4" w:space="0" w:color="000000"/>
            </w:tcBorders>
            <w:shd w:fill="E8E8E8" w:val="clear"/>
            <w:tcMar>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($ 3,726)</w:t>
            </w:r>
            <w:r>
              <w:rPr>
                <w:rFonts w:ascii="Times New Roman" w:hAnsi="Times New Roman"/>
                <w:color w:val="000000"/>
                <w:sz w:val="20"/>
              </w:rPr>
              <w:t xml:space="preserve"> </w:t>
            </w:r>
          </w:p>
        </w:tc>
        <w:tc>
          <w:tcPr>
            <w:tcW w:w="1951" w:type="dxa"/>
            <w:tcBorders>
              <w:top w:val="single" w:sz="4" w:space="0" w:color="000000"/>
              <w:bottom w:val="single" w:sz="4" w:space="0" w:color="000000"/>
            </w:tcBorders>
            <w:shd w:fill="E8E8E8" w:val="clear"/>
            <w:tcMar>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(4.9%)</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20"/>
        </w:rPr>
      </w:pPr>
      <w:r>
        <w:rPr>
          <w:rFonts w:ascii="Arial" w:hAnsi="Arial"/>
          <w:b/>
          <w:color w:val="000000"/>
          <w:sz w:val="20"/>
        </w:rPr>
        <w:t>Conference Call and Webcast</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 xml:space="preserve">Heron will host a conference call and live webcast on Monday, August 10, 2026, at 8:30 a.m. ET. The conference call can be accessed by phone by utilizing the following </w:t>
      </w:r>
      <w:r>
        <w:rPr>
          <w:rFonts w:ascii="Arial" w:hAnsi="Arial"/>
          <w:sz w:val="20"/>
        </w:rPr>
        <w:t>registration link</w:t>
      </w:r>
      <w:r>
        <w:rPr>
          <w:rFonts w:ascii="Times New Roman" w:hAnsi="Times New Roman"/>
          <w:color w:val="000000"/>
          <w:sz w:val="20"/>
        </w:rPr>
        <w:t xml:space="preserve"> </w:t>
      </w:r>
      <w:r>
        <w:rPr>
          <w:rFonts w:ascii="Arial" w:hAnsi="Arial"/>
          <w:color w:val="000000"/>
          <w:sz w:val="20"/>
        </w:rPr>
        <w:t>which will provide participants with dial-in details. To avoid delays, we encourage participants to dial into the conference call fifteen minutes ahead of the scheduled start time. The conference call will also be available via webcast under the Investor Relations section of Heron's website at www.herontx.com. The investor presentation to be used for the conference call and webcast can be accessed from Heron’s website prior to the conference call and webcast. An archive of the teleconference, webcast, and investor presentation will also be made available on Heron's website for sixty days following the call.</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About ZYNRELEF</w:t>
      </w:r>
      <w:r>
        <w:rPr>
          <w:rFonts w:ascii="Arial" w:hAnsi="Arial"/>
          <w:b/>
          <w:color w:val="000000"/>
          <w:sz w:val="13"/>
        </w:rPr>
        <w:t>®</w:t>
      </w:r>
      <w:r>
        <w:rPr>
          <w:rFonts w:ascii="Times New Roman" w:hAnsi="Times New Roman"/>
          <w:color w:val="000000"/>
          <w:sz w:val="20"/>
        </w:rPr>
        <w:t xml:space="preserve"> </w:t>
      </w:r>
      <w:r>
        <w:rPr>
          <w:rFonts w:ascii="Arial" w:hAnsi="Arial"/>
          <w:b/>
          <w:color w:val="000000"/>
          <w:sz w:val="20"/>
        </w:rPr>
        <w:t>for Postoperative Pain</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ZYNRELEF is the first and only extended-release dual-acting local anesthetic that delivers a fixed-dose combination of the local anesthetic bupivacaine and a low dose of nonsteroidal anti-inflammatory drug meloxicam. ZYNRELEF is the first and only extended-release local anesthetic to demonstrate in Phase 3 studies significantly reduced pain and significantly increased proportion of patients requiring no opioids through the first 72 hours following surgery compared to bupivacaine solution, the current standard-of-care local anesthetic for postoperative pain control. ZYNRELEF was initially approved by the FDA in May 2021 for use in adults for soft tissue or periarticular instillation to produce postsurgical analgesia for up to 72 hours after bunionectomy, open inguinal herniorrhaphy and total knee arthroplasty. In December 2021, the FDA approved an expansion of ZYNRELEF's indication to include foot and ankle, small-to-medium open abdominal, and lower extremity total joint arthroplasty surgical procedures. On January 23, 2024, the FDA approved ZYNRELEF for soft tissue and orthopedic surgical procedures including foot and ankle, and other procedures in which direct exposure to articular cartilage is avoided. Safety and efficacy have not been established in highly vascular surgeries, such as intrathoracic, large multilevel spinal, and head and neck procedures.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Please see full prescribing information, including Boxed Warning, at www.ZYNRELEF.com.</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About APONVIE</w:t>
      </w:r>
      <w:r>
        <w:rPr>
          <w:rFonts w:ascii="Arial" w:hAnsi="Arial"/>
          <w:b/>
          <w:color w:val="000000"/>
          <w:sz w:val="13"/>
        </w:rPr>
        <w:t>®</w:t>
      </w:r>
      <w:r>
        <w:rPr>
          <w:rFonts w:ascii="Times New Roman" w:hAnsi="Times New Roman"/>
          <w:color w:val="000000"/>
          <w:sz w:val="20"/>
        </w:rPr>
        <w:t xml:space="preserve"> </w:t>
      </w:r>
      <w:r>
        <w:rPr>
          <w:rFonts w:ascii="Arial" w:hAnsi="Arial"/>
          <w:b/>
          <w:color w:val="000000"/>
          <w:sz w:val="20"/>
        </w:rPr>
        <w:t>for Prevention of Postoperative Nausea and Vomiting (PONV) Prevention</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APONVIE is a substance P/neurokinin 1 (NK1) Receptor Antagonist (RA), indicated for the prevention of post operative nausea and vomiting (PONV) in adults. Delivered via a 30-second IV push, APONVIE 32 mg was demonstrated to be bioequivalent to oral aprepitant 40 mg with rapid achievement of therapeutic drug levels. APONVIE is the same formulation as Heron's approved drug product CINVANTI. APONVIE is supplied in a single-dose vial that delivers the full 32 mg dose for PONV. APONVIE was approved by the FDA in September 2022 and became commercially available in the U.S. on March 6, 2023.</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Please see full prescribing information at www.APONVIE.com.</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About CINVANTI</w:t>
      </w:r>
      <w:r>
        <w:rPr>
          <w:rFonts w:ascii="Arial" w:hAnsi="Arial"/>
          <w:b/>
          <w:color w:val="000000"/>
          <w:sz w:val="13"/>
        </w:rPr>
        <w:t>®</w:t>
      </w:r>
      <w:r>
        <w:rPr>
          <w:rFonts w:ascii="Times New Roman" w:hAnsi="Times New Roman"/>
          <w:color w:val="000000"/>
          <w:sz w:val="20"/>
        </w:rPr>
        <w:t xml:space="preserve"> </w:t>
      </w:r>
      <w:r>
        <w:rPr>
          <w:rFonts w:ascii="Arial" w:hAnsi="Arial"/>
          <w:b/>
          <w:color w:val="000000"/>
          <w:sz w:val="20"/>
        </w:rPr>
        <w:t>for Chemotherapy Induced Nausea and Vomiting (CINV) Prevention</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CINVANTI, in combination with other antiemetic agents, is indicated in adults for the prevention of acute and delayed nausea and vomiting associated with initial and repeat courses of highly emetogenic cancer chemotherapy (HEC) including high-dose cisplatin as a single-dose regimen, delayed nausea and vomiting associated with initial and repeat courses of moderately emetogenic cancer chemotherapy (MEC) as a single-dose regimen, and nausea and vomiting associated with initial and repeat courses of MEC as a 3-day regimen. CINVANTI is an IV formulation of aprepitant, an NK1 RA. CINVANTI is the first IV formulation to directly deliver aprepitant, the active ingredient in EMEND® capsules. Aprepitant (including its prodrug, fosaprepitant) is a single-agent NK1 RA to significantly reduce nausea and vomiting in both the acute phase (0–24 hours after chemotherapy) and the delayed phase (24–120 hours after chemotherapy). The FDA-approved dosing administration included in the U.S. prescribing information for CINVANTI include 100 mg or 130 mg administered as a 30-minute IV infusion or a 2-minute IV injection.</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Arial" w:hAnsi="Arial"/>
          <w:color w:val="000000"/>
          <w:sz w:val="20"/>
        </w:rPr>
      </w:pPr>
      <w:r>
        <w:rPr>
          <w:rFonts w:ascii="Arial" w:hAnsi="Arial"/>
          <w:color w:val="000000"/>
          <w:sz w:val="20"/>
        </w:rPr>
        <w:t>Please see full prescribing information at www.CINVANTI.com.</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About SUSTOL</w:t>
      </w:r>
      <w:r>
        <w:rPr>
          <w:rFonts w:ascii="Arial" w:hAnsi="Arial"/>
          <w:b/>
          <w:color w:val="000000"/>
          <w:sz w:val="13"/>
        </w:rPr>
        <w:t>®</w:t>
      </w:r>
      <w:r>
        <w:rPr>
          <w:rFonts w:ascii="Times New Roman" w:hAnsi="Times New Roman"/>
          <w:color w:val="000000"/>
          <w:sz w:val="20"/>
        </w:rPr>
        <w:t xml:space="preserve"> </w:t>
      </w:r>
      <w:r>
        <w:rPr>
          <w:rFonts w:ascii="Arial" w:hAnsi="Arial"/>
          <w:b/>
          <w:color w:val="000000"/>
          <w:sz w:val="20"/>
        </w:rPr>
        <w:t>for CINV Prevention</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SUSTOL is indicated in combination with other antiemetics in adults for the prevention of acute and delayed nausea and vomiting associated with initial and repeat courses of moderately emetogenic chemotherapy (MEC) or anthracycline and cyclophosphamide (AC) combination chemotherapy regimens. SUSTOL is an extended-release, injectable 5-hydroxytryptamine type 3 RA that utilizes Heron's Biochronomer® drug delivery technology to maintain therapeutic levels of granisetron for ≥5 days. The SUSTOL global Phase 3 development program was comprised of two, large, guideline-based clinical studies that evaluated SUSTOL's efficacy and safety in more than 2,000 patients with cancer. SUSTOL's efficacy in preventing nausea and vomiting was evaluated in both the acute phase (0–24 hours after chemotherapy) and delayed phase (24–120 hours after chemotherapy).</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Please see full prescribing information at www.SUSTOL.com.</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About Heron Therapeutics, Inc.</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Heron Therapeutics, Inc. is a commercial-stage biotechnology company focused on improving the lives of patients by developing and commercializing therapeutic innovations that improve medical care. Our advanced science, patented technologies, and innovative approach to drug discovery and development have allowed us to create and commercialize a portfolio of products that aim to advance the standard-of-care for acute care and oncology patients. For more information, visit www.herontx.com.</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Non-GAAP Financial Measures</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To supplement our financial results presented on a GAAP basis, we have included information about certain non-GAAP financial measures. We believe the presentation of these non-GAAP financial measures, when viewed with our results under GAAP, provide analysts, investors, lenders, and other third parties with insights into how we evaluate normal operational activities, including our ability to generate cash from operations, on a comparable year-over-year basis and manage our budgeting and forecasting.</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our quarterly and annual reports, earnings press releases and conference calls, we may discuss the following financial measures that are not calculated in accordance with GAAP, to supplement our consolidated financial statements presented on a GAAP basis.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Adjusted EBITDA</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Adjusted EBITDA is a non-GAAP financial measure that represents GAAP net income or loss adjusted to exclude interest expense, interest income, the benefit from or provision for income taxes, depreciation, amortization, stock-based compensation, and other adjustments to reflect changes that occur in our business but that we do not believe are indicative of ongoing operations. Adjusted EBITDA, as used by us, may be calculated differently from, and therefore may not be comparable to, similarly titled measures used by other companies.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There are several limitations related to the use of adjusted EBITDA rather than net income or loss, which is the nearest GAAP equivalent, such as: adjusted EBITDA excludes depreciation and amortization and, although these are non-cash expenses, the assets being depreciated or amortized may have to be replaced in the future, the cash requirements for which are not reflected in adjusted EBITDA; we exclude stock-based compensation expense from adjusted EBITDA although: (i) it has been, and will continue to be for the foreseeable future, a significant recurring expense for our business and an important part of our compensation strategy; and (ii) if we did not pay out a portion of our compensation in the form of stock-based compensation, the cash salary expense included in operating expenses would be higher, which would affect our cash position; adjusted EBITDA does not reflect changes in, or cash requirements for, working capital needs; adjusted EBITDA does not reflect the benefit from or provision for income taxes or</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Arial" w:hAnsi="Arial"/>
          <w:color w:val="000000"/>
          <w:sz w:val="20"/>
        </w:rPr>
      </w:pPr>
      <w:r>
        <w:rPr>
          <w:rFonts w:ascii="Arial" w:hAnsi="Arial"/>
          <w:color w:val="000000"/>
          <w:sz w:val="20"/>
        </w:rPr>
        <w:t>the cash requirements to pay taxes; and adjusted EBITDA does not reflect historical cash expenditures or future requirements for capital expenditures or contractual commitments.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For a reconciliation of such non-GAAP financial measures to the most directly comparable financial measures prepared in accordance with GAAP, please see the table titled “U.S. GAAP to Non-GAAP Reconciliation” below.</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Forward-looking Statements</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This news release contains "forward-looking statements" as defined by the Private Securities Litigation Reform Act of 1995. All statements contained in this news release other than statements of historical facts, including statements regarding our future results of operations and financial position, business and commercialization strategy as well as plans and objectives of management for future operations, are forward-looking statements. Heron cautions readers that forward-looking statements are based on management's expectations and assumptions as of the date of this news release and are subject to certain risks and uncertainties that could cause actual results to differ materially. Therefore, you should not place undue reliance on forward-looking statements. Examples of forward-looking statements include, among others, statements we make regarding the potential market opportunities for ZYNRELEF</w:t>
      </w:r>
      <w:r>
        <w:rPr>
          <w:rFonts w:ascii="Arial" w:hAnsi="Arial"/>
          <w:color w:val="000000"/>
          <w:sz w:val="13"/>
        </w:rPr>
        <w:t>®</w:t>
      </w:r>
      <w:r>
        <w:rPr>
          <w:rFonts w:ascii="Arial" w:hAnsi="Arial"/>
          <w:color w:val="000000"/>
          <w:sz w:val="20"/>
        </w:rPr>
        <w:t>, APONVIE</w:t>
      </w:r>
      <w:r>
        <w:rPr>
          <w:rFonts w:ascii="Arial" w:hAnsi="Arial"/>
          <w:color w:val="000000"/>
          <w:sz w:val="13"/>
        </w:rPr>
        <w:t>®</w:t>
      </w:r>
      <w:r>
        <w:rPr>
          <w:rFonts w:ascii="Arial" w:hAnsi="Arial"/>
          <w:color w:val="000000"/>
          <w:sz w:val="20"/>
        </w:rPr>
        <w:t>, CINVANTI</w:t>
      </w:r>
      <w:r>
        <w:rPr>
          <w:rFonts w:ascii="Arial" w:hAnsi="Arial"/>
          <w:color w:val="000000"/>
          <w:sz w:val="13"/>
        </w:rPr>
        <w:t>®</w:t>
      </w:r>
      <w:r>
        <w:rPr>
          <w:rFonts w:ascii="Times New Roman" w:hAnsi="Times New Roman"/>
          <w:color w:val="000000"/>
          <w:sz w:val="20"/>
        </w:rPr>
        <w:t xml:space="preserve"> </w:t>
      </w:r>
      <w:r>
        <w:rPr>
          <w:rFonts w:ascii="Arial" w:hAnsi="Arial"/>
          <w:color w:val="000000"/>
          <w:sz w:val="20"/>
        </w:rPr>
        <w:t>and SUSTOL</w:t>
      </w:r>
      <w:r>
        <w:rPr>
          <w:rFonts w:ascii="Arial" w:hAnsi="Arial"/>
          <w:color w:val="000000"/>
          <w:sz w:val="13"/>
        </w:rPr>
        <w:t>®</w:t>
      </w:r>
      <w:r>
        <w:rPr>
          <w:rFonts w:ascii="Arial" w:hAnsi="Arial"/>
          <w:color w:val="000000"/>
          <w:sz w:val="20"/>
        </w:rPr>
        <w:t>; revenue, any financial guidance that has been previously provided or to be provided in the future by the Company; interim financial data or prescription data, which may not necessarily be indicative of quarterly or annual results; the potential additional market opportunity for the expanded U.S. label for ZYNRELEF or inclusion of ZYNRELEF under the OPPS and the ASC payment system or launch of the ZYNRELEF VAN; our ability to establish and maintain successful commercial arrangements like our co-promotion agreement with Crosslink Network, LLC; the outcome of the Company's pending patent litigations, including potential appeals of any verdicts and the settlement described herein; whether the Company is required to write-off any additional inventory in the future; the expected future balances of Heron's cash, cash equivalents and short-term investments; the expected duration over which Heron's cash, cash equivalents and short-term investments balances will fund its operations and the risk that future equity financings may be needed; any inability or delay in achieving profitability, including as a result of regulatory developments and policy changes in the U.S. and other jurisdictions; our ability to continue as a going concern without additional funding; the ability of our common stock to meet the minimum requirements for continued listing on the Nasdaq Capital Markets; and our ability to comply with covenants in our Working Capital Facility Agreement. Important factors that could cause actual results to differ materially from those in the forward-looking statements are set forth in our most recent Annual Report on Form 10-K and any subsequent Quarterly Reports on Form 10-Q, and in our other reports filed with the Securities and Exchange Commission, including under the caption "Risk Factors." Forward-looking statements reflect our analysis only on their stated date, and Heron takes no obligation to update or revise these statements except as may be required by law.</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Arial" w:hAnsi="Arial"/>
          <w:b/>
          <w:color w:val="000000"/>
          <w:sz w:val="18"/>
        </w:rPr>
      </w:pPr>
      <w:r>
        <w:rPr>
          <w:rFonts w:ascii="Arial" w:hAnsi="Arial"/>
          <w:b/>
          <w:color w:val="000000"/>
          <w:sz w:val="18"/>
        </w:rPr>
        <w:t>Heron Therapeutics, Inc.</w:t>
      </w:r>
    </w:p>
    <w:p>
      <w:pPr>
        <w:pStyle w:val="TextBody"/>
        <w:bidi w:val="0"/>
        <w:spacing w:before="120" w:after="283"/>
        <w:jc w:val="center"/>
        <w:rPr>
          <w:rFonts w:ascii="Arial" w:hAnsi="Arial"/>
          <w:color w:val="000000"/>
          <w:sz w:val="18"/>
        </w:rPr>
      </w:pPr>
      <w:r>
        <w:rPr>
          <w:rFonts w:ascii="Arial" w:hAnsi="Arial"/>
          <w:color w:val="000000"/>
          <w:sz w:val="18"/>
        </w:rPr>
        <w:t>Consolidated Statements of Operations</w:t>
      </w:r>
    </w:p>
    <w:p>
      <w:pPr>
        <w:pStyle w:val="TextBody"/>
        <w:bidi w:val="0"/>
        <w:spacing w:before="120" w:after="283"/>
        <w:jc w:val="center"/>
        <w:rPr>
          <w:rFonts w:ascii="Arial" w:hAnsi="Arial"/>
          <w:color w:val="000000"/>
          <w:sz w:val="16"/>
        </w:rPr>
      </w:pPr>
      <w:bookmarkStart w:id="4" w:name="range_a1_i17"/>
      <w:bookmarkEnd w:id="4"/>
      <w:r>
        <w:rPr>
          <w:rFonts w:ascii="Arial" w:hAnsi="Arial"/>
          <w:color w:val="000000"/>
          <w:sz w:val="16"/>
        </w:rPr>
        <w:t>(in thousands, except per share amounts)</w:t>
      </w:r>
      <w:bookmarkStart w:id="5" w:name="range_a1_e13"/>
      <w:bookmarkStart w:id="6" w:name="range_a1_i13"/>
      <w:bookmarkStart w:id="7" w:name="range_a1_i18"/>
      <w:bookmarkEnd w:id="5"/>
      <w:bookmarkEnd w:id="6"/>
      <w:bookmarkEnd w:id="7"/>
    </w:p>
    <w:p>
      <w:pPr>
        <w:pStyle w:val="TextBody"/>
        <w:bidi w:val="0"/>
        <w:spacing w:before="120" w:after="283"/>
        <w:jc w:val="center"/>
        <w:rPr>
          <w:rFonts w:ascii="Arial" w:hAnsi="Arial"/>
          <w:color w:val="000000"/>
          <w:sz w:val="16"/>
        </w:rPr>
      </w:pPr>
      <w:bookmarkStart w:id="8" w:name="range_a1_e14"/>
      <w:bookmarkEnd w:id="8"/>
      <w:r>
        <w:rPr>
          <w:rFonts w:ascii="Arial" w:hAnsi="Arial"/>
          <w:color w:val="000000"/>
          <w:sz w:val="16"/>
        </w:rPr>
        <w:t>(unaudited)</w:t>
      </w:r>
      <w:bookmarkStart w:id="9" w:name="range_a1_i15"/>
      <w:bookmarkStart w:id="10" w:name="range_a1_i19"/>
      <w:bookmarkStart w:id="11" w:name="range_a1_i14"/>
      <w:bookmarkStart w:id="12" w:name="range_a1_e19"/>
      <w:bookmarkEnd w:id="9"/>
      <w:bookmarkEnd w:id="10"/>
      <w:bookmarkEnd w:id="11"/>
      <w:bookmarkEnd w:id="12"/>
    </w:p>
    <w:p>
      <w:pPr>
        <w:pStyle w:val="TextBody"/>
        <w:bidi w:val="0"/>
        <w:spacing w:before="120" w:after="283"/>
        <w:jc w:val="center"/>
        <w:rPr/>
      </w:pPr>
      <w:r>
        <w:rPr/>
        <w:t> </w:t>
      </w:r>
    </w:p>
    <w:tbl>
      <w:tblPr>
        <w:tblW w:w="8614" w:type="dxa"/>
        <w:jc w:val="left"/>
        <w:tblInd w:w="0" w:type="dxa"/>
        <w:tblLayout w:type="fixed"/>
        <w:tblCellMar>
          <w:top w:w="28" w:type="dxa"/>
          <w:left w:w="28" w:type="dxa"/>
          <w:bottom w:w="28" w:type="dxa"/>
          <w:right w:w="28" w:type="dxa"/>
        </w:tblCellMar>
      </w:tblPr>
      <w:tblGrid>
        <w:gridCol w:w="4111"/>
        <w:gridCol w:w="146"/>
        <w:gridCol w:w="196"/>
        <w:gridCol w:w="736"/>
        <w:gridCol w:w="146"/>
        <w:gridCol w:w="196"/>
        <w:gridCol w:w="736"/>
        <w:gridCol w:w="146"/>
        <w:gridCol w:w="146"/>
        <w:gridCol w:w="196"/>
        <w:gridCol w:w="736"/>
        <w:gridCol w:w="146"/>
        <w:gridCol w:w="196"/>
        <w:gridCol w:w="78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5"/>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sz w:val="16"/>
              </w:rPr>
            </w:pPr>
            <w:r>
              <w:rPr>
                <w:rFonts w:ascii="Arial" w:hAnsi="Arial"/>
                <w:b/>
                <w:color w:val="000000"/>
                <w:sz w:val="16"/>
              </w:rPr>
              <w:t>Three Months Ended</w:t>
            </w:r>
            <w:r>
              <w:rPr>
                <w:rFonts w:ascii="Times New Roman" w:hAnsi="Times New Roman"/>
                <w:color w:val="000000"/>
                <w:sz w:val="16"/>
              </w:rPr>
              <w:t xml:space="preserve"> </w:t>
            </w:r>
          </w:p>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5" w:type="dxa"/>
            <w:gridSpan w:val="5"/>
            <w:tcBorders>
              <w:bottom w:val="single" w:sz="4"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Six Months Ended</w:t>
            </w:r>
          </w:p>
          <w:p>
            <w:pPr>
              <w:pStyle w:val="TableContents"/>
              <w:bidi w:val="0"/>
              <w:spacing w:before="0" w:after="283"/>
              <w:jc w:val="center"/>
              <w:rPr>
                <w:rFonts w:ascii="Arial" w:hAnsi="Arial"/>
                <w:b/>
                <w:color w:val="000000"/>
                <w:sz w:val="16"/>
              </w:rPr>
            </w:pPr>
            <w:r>
              <w:rPr>
                <w:rFonts w:ascii="Arial" w:hAnsi="Arial"/>
                <w:b/>
                <w:color w:val="000000"/>
                <w:sz w:val="16"/>
              </w:rPr>
              <w:t>June 30,</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37,666</w:t>
            </w:r>
            <w:r>
              <w:rPr>
                <w:rFonts w:ascii="Times New Roman" w:hAnsi="Times New Roman"/>
                <w:color w:val="000000"/>
                <w:sz w:val="16"/>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37,200</w:t>
            </w:r>
            <w:r>
              <w:rPr>
                <w:rFonts w:ascii="Times New Roman" w:hAnsi="Times New Roman"/>
                <w:color w:val="000000"/>
                <w:sz w:val="16"/>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72,377</w:t>
            </w:r>
            <w:r>
              <w:rPr>
                <w:rFonts w:ascii="Times New Roman" w:hAnsi="Times New Roman"/>
                <w:color w:val="000000"/>
                <w:sz w:val="16"/>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76,103</w:t>
            </w:r>
            <w:r>
              <w:rPr>
                <w:rFonts w:ascii="Times New Roman" w:hAnsi="Times New Roman"/>
                <w:color w:val="000000"/>
                <w:sz w:val="16"/>
              </w:rPr>
              <w:t xml:space="preserve"> </w:t>
            </w:r>
          </w:p>
        </w:tc>
      </w:tr>
      <w:tr>
        <w:trPr/>
        <w:tc>
          <w:tcPr>
            <w:tcW w:w="4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product sales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11,572</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9,857</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22,210</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18,314</w:t>
            </w:r>
            <w:r>
              <w:rPr>
                <w:rFonts w:ascii="Times New Roman" w:hAnsi="Times New Roman"/>
                <w:color w:val="000000"/>
                <w:sz w:val="16"/>
              </w:rPr>
              <w:t xml:space="preserve">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26,094</w:t>
            </w:r>
            <w:r>
              <w:rPr>
                <w:rFonts w:ascii="Times New Roman" w:hAnsi="Times New Roman"/>
                <w:color w:val="000000"/>
                <w:sz w:val="16"/>
              </w:rPr>
              <w:t xml:space="preserve">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27,343</w:t>
            </w:r>
            <w:r>
              <w:rPr>
                <w:rFonts w:ascii="Times New Roman" w:hAnsi="Times New Roman"/>
                <w:color w:val="000000"/>
                <w:sz w:val="16"/>
              </w:rPr>
              <w:t xml:space="preserve">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50,167</w:t>
            </w:r>
            <w:r>
              <w:rPr>
                <w:rFonts w:ascii="Times New Roman" w:hAnsi="Times New Roman"/>
                <w:color w:val="000000"/>
                <w:sz w:val="16"/>
              </w:rPr>
              <w:t xml:space="preserve">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57,789</w:t>
            </w:r>
            <w:r>
              <w:rPr>
                <w:rFonts w:ascii="Times New Roman" w:hAnsi="Times New Roman"/>
                <w:color w:val="000000"/>
                <w:sz w:val="16"/>
              </w:rPr>
              <w:t xml:space="preserve"> </w:t>
            </w:r>
          </w:p>
        </w:tc>
      </w:tr>
      <w:tr>
        <w:trPr/>
        <w:tc>
          <w:tcPr>
            <w:tcW w:w="4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2,702</w:t>
            </w:r>
            <w:r>
              <w:rPr>
                <w:rFonts w:ascii="Times New Roman" w:hAnsi="Times New Roman"/>
                <w:color w:val="000000"/>
                <w:sz w:val="16"/>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2,934</w:t>
            </w:r>
            <w:r>
              <w:rPr>
                <w:rFonts w:ascii="Times New Roman" w:hAnsi="Times New Roman"/>
                <w:color w:val="000000"/>
                <w:sz w:val="16"/>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5,087</w:t>
            </w:r>
            <w:r>
              <w:rPr>
                <w:rFonts w:ascii="Times New Roman" w:hAnsi="Times New Roman"/>
                <w:color w:val="000000"/>
                <w:sz w:val="16"/>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5,213</w:t>
            </w:r>
            <w:r>
              <w:rPr>
                <w:rFonts w:ascii="Times New Roman" w:hAnsi="Times New Roman"/>
                <w:color w:val="000000"/>
                <w:sz w:val="16"/>
              </w:rPr>
              <w:t xml:space="preserve"> </w:t>
            </w:r>
          </w:p>
        </w:tc>
      </w:tr>
      <w:tr>
        <w:trPr/>
        <w:tc>
          <w:tcPr>
            <w:tcW w:w="4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General and administrative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11,276</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14,471</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23,421</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27,173</w:t>
            </w:r>
            <w:r>
              <w:rPr>
                <w:rFonts w:ascii="Times New Roman" w:hAnsi="Times New Roman"/>
                <w:color w:val="000000"/>
                <w:sz w:val="16"/>
              </w:rPr>
              <w:t xml:space="preserve">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14,160</w:t>
            </w:r>
            <w:r>
              <w:rPr>
                <w:rFonts w:ascii="Times New Roman" w:hAnsi="Times New Roman"/>
                <w:color w:val="000000"/>
                <w:sz w:val="16"/>
              </w:rPr>
              <w:t xml:space="preserve">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11,575</w:t>
            </w:r>
            <w:r>
              <w:rPr>
                <w:rFonts w:ascii="Times New Roman" w:hAnsi="Times New Roman"/>
                <w:color w:val="000000"/>
                <w:sz w:val="16"/>
              </w:rPr>
              <w:t xml:space="preserve">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28,468</w:t>
            </w:r>
            <w:r>
              <w:rPr>
                <w:rFonts w:ascii="Times New Roman" w:hAnsi="Times New Roman"/>
                <w:color w:val="000000"/>
                <w:sz w:val="16"/>
              </w:rPr>
              <w:t xml:space="preserve">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23,886</w:t>
            </w:r>
            <w:r>
              <w:rPr>
                <w:rFonts w:ascii="Times New Roman" w:hAnsi="Times New Roman"/>
                <w:color w:val="000000"/>
                <w:sz w:val="16"/>
              </w:rPr>
              <w:t xml:space="preserve"> </w:t>
            </w:r>
          </w:p>
        </w:tc>
      </w:tr>
      <w:tr>
        <w:trPr/>
        <w:tc>
          <w:tcPr>
            <w:tcW w:w="4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operating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28,138</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28,980</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56,976</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56,272</w:t>
            </w:r>
            <w:r>
              <w:rPr>
                <w:rFonts w:ascii="Times New Roman" w:hAnsi="Times New Roman"/>
                <w:color w:val="000000"/>
                <w:sz w:val="16"/>
              </w:rPr>
              <w:t xml:space="preserve">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1,517</w:t>
            </w:r>
            <w:r>
              <w:rPr>
                <w:rFonts w:ascii="Times New Roman" w:hAnsi="Times New Roman"/>
                <w:color w:val="000000"/>
                <w:sz w:val="16"/>
              </w:rPr>
              <w:t xml:space="preserve"> </w:t>
            </w:r>
          </w:p>
        </w:tc>
      </w:tr>
      <w:tr>
        <w:trPr/>
        <w:tc>
          <w:tcPr>
            <w:tcW w:w="4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expense,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(3,445)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(6,791)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(1,263)</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254</w:t>
            </w:r>
            <w:r>
              <w:rPr>
                <w:rFonts w:ascii="Times New Roman" w:hAnsi="Times New Roman"/>
                <w:color w:val="000000"/>
                <w:sz w:val="16"/>
              </w:rPr>
              <w:t xml:space="preserve"> </w:t>
            </w:r>
          </w:p>
        </w:tc>
      </w:tr>
      <w:tr>
        <w:trPr/>
        <w:tc>
          <w:tcPr>
            <w:tcW w:w="4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comprehensive (loss)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Unrealized loss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w:t>
            </w:r>
            <w:r>
              <w:rPr>
                <w:rFonts w:ascii="Times New Roman" w:hAnsi="Times New Roman"/>
                <w:color w:val="000000"/>
                <w:sz w:val="16"/>
              </w:rPr>
              <w:t xml:space="preserve">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r>
      <w:tr>
        <w:trPr/>
        <w:tc>
          <w:tcPr>
            <w:tcW w:w="4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Comprehensive (loss)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(5,489)</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(2,383)</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(13,610)</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240</w:t>
            </w:r>
            <w:r>
              <w:rPr>
                <w:rFonts w:ascii="Times New Roman" w:hAnsi="Times New Roman"/>
                <w:color w:val="000000"/>
                <w:sz w:val="16"/>
              </w:rPr>
              <w:t xml:space="preserve">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Basic net (loss)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0.00</w:t>
            </w:r>
            <w:r>
              <w:rPr>
                <w:rFonts w:ascii="Times New Roman" w:hAnsi="Times New Roman"/>
                <w:color w:val="000000"/>
                <w:sz w:val="16"/>
              </w:rPr>
              <w:t xml:space="preserve"> </w:t>
            </w:r>
          </w:p>
        </w:tc>
      </w:tr>
      <w:tr>
        <w:trPr/>
        <w:tc>
          <w:tcPr>
            <w:tcW w:w="4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Diluted net (loss) income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(0.03)</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(0.02)</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(0.07)</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0.00</w:t>
            </w:r>
            <w:r>
              <w:rPr>
                <w:rFonts w:ascii="Times New Roman" w:hAnsi="Times New Roman"/>
                <w:color w:val="000000"/>
                <w:sz w:val="16"/>
              </w:rPr>
              <w:t xml:space="preserve">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common shares outstanding,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190,335</w:t>
            </w:r>
            <w:r>
              <w:rPr>
                <w:rFonts w:ascii="Times New Roman" w:hAnsi="Times New Roman"/>
                <w:color w:val="000000"/>
                <w:sz w:val="16"/>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154,020</w:t>
            </w:r>
            <w:r>
              <w:rPr>
                <w:rFonts w:ascii="Times New Roman" w:hAnsi="Times New Roman"/>
                <w:color w:val="000000"/>
                <w:sz w:val="16"/>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189,993</w:t>
            </w:r>
            <w:r>
              <w:rPr>
                <w:rFonts w:ascii="Times New Roman" w:hAnsi="Times New Roman"/>
                <w:color w:val="000000"/>
                <w:sz w:val="16"/>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153,804</w:t>
            </w:r>
            <w:r>
              <w:rPr>
                <w:rFonts w:ascii="Times New Roman" w:hAnsi="Times New Roman"/>
                <w:color w:val="000000"/>
                <w:sz w:val="16"/>
              </w:rPr>
              <w:t xml:space="preserve"> </w:t>
            </w:r>
          </w:p>
        </w:tc>
      </w:tr>
      <w:tr>
        <w:trPr/>
        <w:tc>
          <w:tcPr>
            <w:tcW w:w="4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common shares outstanding, diluted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73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190,335</w:t>
            </w:r>
            <w:r>
              <w:rPr>
                <w:rFonts w:ascii="Times New Roman" w:hAnsi="Times New Roman"/>
                <w:color w:val="000000"/>
                <w:sz w:val="16"/>
              </w:rPr>
              <w:t xml:space="preserve">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73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154,020</w:t>
            </w:r>
            <w:r>
              <w:rPr>
                <w:rFonts w:ascii="Times New Roman" w:hAnsi="Times New Roman"/>
                <w:color w:val="000000"/>
                <w:sz w:val="16"/>
              </w:rPr>
              <w:t xml:space="preserve">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73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189,993</w:t>
            </w:r>
            <w:r>
              <w:rPr>
                <w:rFonts w:ascii="Times New Roman" w:hAnsi="Times New Roman"/>
                <w:color w:val="000000"/>
                <w:sz w:val="16"/>
              </w:rPr>
              <w:t xml:space="preserve">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197,751</w:t>
            </w:r>
            <w:r>
              <w:rPr>
                <w:rFonts w:ascii="Times New Roman" w:hAnsi="Times New Roman"/>
                <w:color w:val="000000"/>
                <w:sz w:val="16"/>
              </w:rPr>
              <w:t xml:space="preserve"> </w:t>
            </w:r>
          </w:p>
        </w:tc>
      </w:tr>
    </w:tbl>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Arial" w:hAnsi="Arial"/>
          <w:b/>
          <w:color w:val="000000"/>
          <w:sz w:val="18"/>
        </w:rPr>
      </w:pPr>
      <w:r>
        <w:rPr>
          <w:rFonts w:ascii="Arial" w:hAnsi="Arial"/>
          <w:b/>
          <w:color w:val="000000"/>
          <w:sz w:val="18"/>
        </w:rPr>
        <w:t>Heron Therapeutics, Inc.</w:t>
      </w:r>
    </w:p>
    <w:p>
      <w:pPr>
        <w:pStyle w:val="TextBody"/>
        <w:bidi w:val="0"/>
        <w:spacing w:before="120" w:after="283"/>
        <w:jc w:val="center"/>
        <w:rPr>
          <w:rFonts w:ascii="Arial" w:hAnsi="Arial"/>
          <w:color w:val="000000"/>
          <w:sz w:val="18"/>
        </w:rPr>
      </w:pPr>
      <w:r>
        <w:rPr>
          <w:rFonts w:ascii="Arial" w:hAnsi="Arial"/>
          <w:color w:val="000000"/>
          <w:sz w:val="18"/>
        </w:rPr>
        <w:t>Consolidated Balance Sheets</w:t>
      </w:r>
    </w:p>
    <w:p>
      <w:pPr>
        <w:pStyle w:val="TextBody"/>
        <w:bidi w:val="0"/>
        <w:spacing w:before="120" w:after="283"/>
        <w:jc w:val="center"/>
        <w:rPr>
          <w:rFonts w:ascii="Arial" w:hAnsi="Arial"/>
          <w:color w:val="000000"/>
          <w:sz w:val="18"/>
        </w:rPr>
      </w:pPr>
      <w:bookmarkStart w:id="13" w:name="range_a1_e32"/>
      <w:bookmarkEnd w:id="13"/>
      <w:r>
        <w:rPr>
          <w:rFonts w:ascii="Arial" w:hAnsi="Arial"/>
          <w:color w:val="000000"/>
          <w:sz w:val="18"/>
        </w:rPr>
        <w:t>(in thousands)</w:t>
      </w:r>
      <w:bookmarkStart w:id="14" w:name="range_a1_e36"/>
      <w:bookmarkStart w:id="15" w:name="range_a1_e35"/>
      <w:bookmarkEnd w:id="14"/>
      <w:bookmarkEnd w:id="15"/>
    </w:p>
    <w:p>
      <w:pPr>
        <w:pStyle w:val="TextBody"/>
        <w:bidi w:val="0"/>
        <w:jc w:val="both"/>
        <w:rPr/>
      </w:pPr>
      <w:r>
        <w:rPr/>
        <w:t> </w:t>
      </w:r>
    </w:p>
    <w:tbl>
      <w:tblPr>
        <w:tblW w:w="7572" w:type="dxa"/>
        <w:jc w:val="left"/>
        <w:tblInd w:w="0" w:type="dxa"/>
        <w:tblLayout w:type="fixed"/>
        <w:tblCellMar>
          <w:top w:w="28" w:type="dxa"/>
          <w:left w:w="28" w:type="dxa"/>
          <w:bottom w:w="28" w:type="dxa"/>
          <w:right w:w="28" w:type="dxa"/>
        </w:tblCellMar>
      </w:tblPr>
      <w:tblGrid>
        <w:gridCol w:w="4246"/>
        <w:gridCol w:w="146"/>
        <w:gridCol w:w="211"/>
        <w:gridCol w:w="1201"/>
        <w:gridCol w:w="146"/>
        <w:gridCol w:w="211"/>
        <w:gridCol w:w="141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42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2"/>
              </w:rPr>
            </w:pPr>
            <w:r>
              <w:rPr>
                <w:rFonts w:ascii="Arial" w:hAnsi="Arial"/>
                <w:b/>
                <w:color w:val="000000"/>
                <w:sz w:val="20"/>
              </w:rPr>
              <w:t>June 30,</w:t>
            </w:r>
            <w:r>
              <w:rPr>
                <w:rFonts w:ascii="Aptos;sans-serif" w:hAnsi="Aptos;sans-serif"/>
                <w:color w:val="000000"/>
                <w:sz w:val="22"/>
              </w:rPr>
              <w:br/>
            </w:r>
            <w:r>
              <w:rPr>
                <w:rFonts w:ascii="Arial" w:hAnsi="Arial"/>
                <w:b/>
                <w:color w:val="000000"/>
                <w:sz w:val="20"/>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2"/>
              </w:rPr>
            </w:pPr>
            <w:r>
              <w:rPr>
                <w:rFonts w:ascii="Arial" w:hAnsi="Arial"/>
                <w:b/>
                <w:color w:val="000000"/>
                <w:sz w:val="20"/>
              </w:rPr>
              <w:t>December 31,</w:t>
            </w:r>
            <w:r>
              <w:rPr>
                <w:rFonts w:ascii="Aptos;sans-serif" w:hAnsi="Aptos;sans-serif"/>
                <w:color w:val="000000"/>
                <w:sz w:val="22"/>
              </w:rPr>
              <w:br/>
            </w:r>
            <w:r>
              <w:rPr>
                <w:rFonts w:ascii="Arial" w:hAnsi="Arial"/>
                <w:b/>
                <w:color w:val="000000"/>
                <w:sz w:val="20"/>
              </w:rPr>
              <w:t>2025</w:t>
            </w:r>
          </w:p>
        </w:tc>
      </w:tr>
      <w:tr>
        <w:trPr/>
        <w:tc>
          <w:tcPr>
            <w:tcW w:w="42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(Unaudited)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20,721</w:t>
            </w:r>
            <w:r>
              <w:rPr>
                <w:rFonts w:ascii="Times New Roman" w:hAnsi="Times New Roman"/>
                <w:color w:val="00000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28,647</w:t>
            </w:r>
            <w:r>
              <w:rPr>
                <w:rFonts w:ascii="Times New Roman" w:hAnsi="Times New Roman"/>
                <w:color w:val="000000"/>
                <w:sz w:val="20"/>
              </w:rPr>
              <w:t xml:space="preserve"> </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21,943</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17,984</w:t>
            </w:r>
            <w:r>
              <w:rPr>
                <w:rFonts w:ascii="Times New Roman" w:hAnsi="Times New Roman"/>
                <w:color w:val="000000"/>
                <w:sz w:val="20"/>
              </w:rPr>
              <w:t xml:space="preserve">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89,571</w:t>
            </w:r>
            <w:r>
              <w:rPr>
                <w:rFonts w:ascii="Times New Roman" w:hAnsi="Times New Roman"/>
                <w:color w:val="00000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89,587</w:t>
            </w:r>
            <w:r>
              <w:rPr>
                <w:rFonts w:ascii="Times New Roman" w:hAnsi="Times New Roman"/>
                <w:color w:val="000000"/>
                <w:sz w:val="20"/>
              </w:rPr>
              <w:t xml:space="preserve"> </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Inventory,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90,585</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92,746</w:t>
            </w:r>
            <w:r>
              <w:rPr>
                <w:rFonts w:ascii="Times New Roman" w:hAnsi="Times New Roman"/>
                <w:color w:val="000000"/>
                <w:sz w:val="20"/>
              </w:rPr>
              <w:t xml:space="preserve">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7,025</w:t>
            </w:r>
            <w:r>
              <w:rPr>
                <w:rFonts w:ascii="Times New Roman" w:hAnsi="Times New Roman"/>
                <w:color w:val="000000"/>
                <w:sz w:val="20"/>
              </w:rPr>
              <w:t xml:space="preserve">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9,102</w:t>
            </w:r>
            <w:r>
              <w:rPr>
                <w:rFonts w:ascii="Times New Roman" w:hAnsi="Times New Roman"/>
                <w:color w:val="000000"/>
                <w:sz w:val="20"/>
              </w:rPr>
              <w:t xml:space="preserve"> </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229,845</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238,066</w:t>
            </w:r>
            <w:r>
              <w:rPr>
                <w:rFonts w:ascii="Times New Roman" w:hAnsi="Times New Roman"/>
                <w:color w:val="000000"/>
                <w:sz w:val="20"/>
              </w:rPr>
              <w:t xml:space="preserve"> </w:t>
            </w:r>
          </w:p>
        </w:tc>
      </w:tr>
      <w:tr>
        <w:trPr/>
        <w:tc>
          <w:tcPr>
            <w:tcW w:w="4246" w:type="dxa"/>
            <w:tcBorders/>
            <w:shd w:fill="D0EF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D0EF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EF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D0EF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11,814</w:t>
            </w:r>
            <w:r>
              <w:rPr>
                <w:rFonts w:ascii="Times New Roman" w:hAnsi="Times New Roman"/>
                <w:color w:val="000000"/>
                <w:sz w:val="20"/>
              </w:rPr>
              <w:t xml:space="preserve"> </w:t>
            </w:r>
          </w:p>
        </w:tc>
        <w:tc>
          <w:tcPr>
            <w:tcW w:w="146" w:type="dxa"/>
            <w:tcBorders/>
            <w:shd w:fill="D0EF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0EFFC"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shd w:fill="D0EF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12,403</w:t>
            </w:r>
            <w:r>
              <w:rPr>
                <w:rFonts w:ascii="Times New Roman" w:hAnsi="Times New Roman"/>
                <w:color w:val="000000"/>
                <w:sz w:val="20"/>
              </w:rPr>
              <w:t xml:space="preserve"> </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Right-of-use lease asset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5,596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r>
      <w:tr>
        <w:trPr/>
        <w:tc>
          <w:tcPr>
            <w:tcW w:w="4246" w:type="dxa"/>
            <w:tcBorders/>
            <w:shd w:fill="D0EF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D0EF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EF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D0EF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5,007</w:t>
            </w:r>
            <w:r>
              <w:rPr>
                <w:rFonts w:ascii="Times New Roman" w:hAnsi="Times New Roman"/>
                <w:color w:val="000000"/>
                <w:sz w:val="20"/>
              </w:rPr>
              <w:t xml:space="preserve"> </w:t>
            </w:r>
          </w:p>
        </w:tc>
        <w:tc>
          <w:tcPr>
            <w:tcW w:w="146" w:type="dxa"/>
            <w:tcBorders/>
            <w:shd w:fill="D0EF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0EFFC"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shd w:fill="D0EF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5,408</w:t>
            </w:r>
            <w:r>
              <w:rPr>
                <w:rFonts w:ascii="Times New Roman" w:hAnsi="Times New Roman"/>
                <w:color w:val="000000"/>
                <w:sz w:val="20"/>
              </w:rPr>
              <w:t xml:space="preserve">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2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252,262</w:t>
            </w:r>
            <w:r>
              <w:rPr>
                <w:rFonts w:ascii="Times New Roman" w:hAnsi="Times New Roman"/>
                <w:color w:val="000000"/>
                <w:sz w:val="20"/>
              </w:rPr>
              <w:t xml:space="preserve">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255,877</w:t>
            </w:r>
            <w:r>
              <w:rPr>
                <w:rFonts w:ascii="Times New Roman" w:hAnsi="Times New Roman"/>
                <w:color w:val="000000"/>
                <w:sz w:val="20"/>
              </w:rPr>
              <w:t xml:space="preserve"> </w:t>
            </w:r>
          </w:p>
        </w:tc>
      </w:tr>
      <w:tr>
        <w:trPr/>
        <w:tc>
          <w:tcPr>
            <w:tcW w:w="4246" w:type="dxa"/>
            <w:tcBorders/>
            <w:shd w:fill="D0EF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LIABILITIES AND STOCKHOLDERS' EQUITY</w:t>
            </w:r>
          </w:p>
        </w:tc>
        <w:tc>
          <w:tcPr>
            <w:tcW w:w="146" w:type="dxa"/>
            <w:tcBorders/>
            <w:shd w:fill="D0EF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D0EF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D0EF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EF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0EFFC"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shd w:fill="D0EF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D0EF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w:t>
            </w:r>
          </w:p>
        </w:tc>
        <w:tc>
          <w:tcPr>
            <w:tcW w:w="146" w:type="dxa"/>
            <w:tcBorders/>
            <w:shd w:fill="D0EF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EF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201" w:type="dxa"/>
            <w:tcBorders/>
            <w:shd w:fill="D0EF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11,641</w:t>
            </w:r>
            <w:r>
              <w:rPr>
                <w:rFonts w:ascii="Times New Roman" w:hAnsi="Times New Roman"/>
                <w:color w:val="000000"/>
                <w:sz w:val="20"/>
              </w:rPr>
              <w:t xml:space="preserve"> </w:t>
            </w:r>
          </w:p>
        </w:tc>
        <w:tc>
          <w:tcPr>
            <w:tcW w:w="146" w:type="dxa"/>
            <w:tcBorders/>
            <w:shd w:fill="D0EF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0EF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11" w:type="dxa"/>
            <w:tcBorders/>
            <w:shd w:fill="D0EF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8,994</w:t>
            </w:r>
            <w:r>
              <w:rPr>
                <w:rFonts w:ascii="Times New Roman" w:hAnsi="Times New Roman"/>
                <w:color w:val="000000"/>
                <w:sz w:val="20"/>
              </w:rPr>
              <w:t xml:space="preserve">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clinical and manufacturing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22,178</w:t>
            </w:r>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26,597</w:t>
            </w:r>
            <w:r>
              <w:rPr>
                <w:rFonts w:ascii="Times New Roman" w:hAnsi="Times New Roman"/>
                <w:color w:val="000000"/>
                <w:sz w:val="20"/>
              </w:rPr>
              <w:t xml:space="preserve"> </w:t>
            </w:r>
          </w:p>
        </w:tc>
      </w:tr>
      <w:tr>
        <w:trPr/>
        <w:tc>
          <w:tcPr>
            <w:tcW w:w="4246" w:type="dxa"/>
            <w:tcBorders/>
            <w:shd w:fill="D0EF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payroll and employee liabilities</w:t>
            </w:r>
          </w:p>
        </w:tc>
        <w:tc>
          <w:tcPr>
            <w:tcW w:w="146" w:type="dxa"/>
            <w:tcBorders/>
            <w:shd w:fill="D0EF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EF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D0EF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6,632</w:t>
            </w:r>
            <w:r>
              <w:rPr>
                <w:rFonts w:ascii="Times New Roman" w:hAnsi="Times New Roman"/>
                <w:color w:val="000000"/>
                <w:sz w:val="20"/>
              </w:rPr>
              <w:t xml:space="preserve"> </w:t>
            </w:r>
          </w:p>
        </w:tc>
        <w:tc>
          <w:tcPr>
            <w:tcW w:w="146" w:type="dxa"/>
            <w:tcBorders/>
            <w:shd w:fill="D0EF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0EFFC"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shd w:fill="D0EF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9,270</w:t>
            </w:r>
            <w:r>
              <w:rPr>
                <w:rFonts w:ascii="Times New Roman" w:hAnsi="Times New Roman"/>
                <w:color w:val="000000"/>
                <w:sz w:val="20"/>
              </w:rPr>
              <w:t xml:space="preserve">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51,494</w:t>
            </w:r>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51,237</w:t>
            </w:r>
            <w:r>
              <w:rPr>
                <w:rFonts w:ascii="Times New Roman" w:hAnsi="Times New Roman"/>
                <w:color w:val="000000"/>
                <w:sz w:val="20"/>
              </w:rPr>
              <w:t xml:space="preserve">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w:t>
            </w:r>
            <w:r>
              <w:rPr>
                <w:rFonts w:ascii="Times New Roman" w:hAnsi="Times New Roman"/>
                <w:color w:val="000000"/>
                <w:sz w:val="20"/>
              </w:rPr>
              <w:t xml:space="preserve"> </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20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92,145</w:t>
            </w:r>
            <w:r>
              <w:rPr>
                <w:rFonts w:ascii="Times New Roman" w:hAnsi="Times New Roman"/>
                <w:color w:val="000000"/>
                <w:sz w:val="20"/>
              </w:rPr>
              <w:t xml:space="preserve">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1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96,098</w:t>
            </w:r>
            <w:r>
              <w:rPr>
                <w:rFonts w:ascii="Times New Roman" w:hAnsi="Times New Roman"/>
                <w:color w:val="000000"/>
                <w:sz w:val="20"/>
              </w:rPr>
              <w:t xml:space="preserve">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Non-current notes payable,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108,725</w:t>
            </w:r>
            <w:r>
              <w:rPr>
                <w:rFonts w:ascii="Times New Roman" w:hAnsi="Times New Roman"/>
                <w:color w:val="00000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107,899</w:t>
            </w:r>
            <w:r>
              <w:rPr>
                <w:rFonts w:ascii="Times New Roman" w:hAnsi="Times New Roman"/>
                <w:color w:val="000000"/>
                <w:sz w:val="20"/>
              </w:rPr>
              <w:t xml:space="preserve"> </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Non-current convertible notes payable,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33,925</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32,739</w:t>
            </w:r>
            <w:r>
              <w:rPr>
                <w:rFonts w:ascii="Times New Roman" w:hAnsi="Times New Roman"/>
                <w:color w:val="000000"/>
                <w:sz w:val="20"/>
              </w:rPr>
              <w:t xml:space="preserve">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Non-current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5,055</w:t>
            </w:r>
            <w:r>
              <w:rPr>
                <w:rFonts w:ascii="Times New Roman" w:hAnsi="Times New Roman"/>
                <w:color w:val="000000"/>
                <w:sz w:val="20"/>
              </w:rPr>
              <w:t xml:space="preserv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4,808</w:t>
            </w:r>
            <w:r>
              <w:rPr>
                <w:rFonts w:ascii="Times New Roman" w:hAnsi="Times New Roman"/>
                <w:color w:val="000000"/>
                <w:sz w:val="20"/>
              </w:rPr>
              <w:t xml:space="preserve"> </w:t>
            </w:r>
          </w:p>
        </w:tc>
      </w:tr>
      <w:tr>
        <w:trPr/>
        <w:tc>
          <w:tcPr>
            <w:tcW w:w="4246" w:type="dxa"/>
            <w:tcBorders/>
            <w:shd w:fill="D0EF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shd w:fill="D0EF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0EFFC"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000000"/>
            </w:tcBorders>
            <w:shd w:fill="D0EFFC"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245,354</w:t>
            </w:r>
            <w:r>
              <w:rPr>
                <w:rFonts w:ascii="Times New Roman" w:hAnsi="Times New Roman"/>
                <w:color w:val="000000"/>
                <w:sz w:val="20"/>
              </w:rPr>
              <w:t xml:space="preserve"> </w:t>
            </w:r>
          </w:p>
        </w:tc>
        <w:tc>
          <w:tcPr>
            <w:tcW w:w="146" w:type="dxa"/>
            <w:tcBorders>
              <w:bottom w:val="single" w:sz="4" w:space="0" w:color="000000"/>
            </w:tcBorders>
            <w:shd w:fill="D0EF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0EFFC" w:val="clear"/>
            <w:tcMar>
              <w:top w:w="0" w:type="dxa"/>
              <w:left w:w="0" w:type="dxa"/>
              <w:right w:w="0" w:type="dxa"/>
            </w:tcMar>
            <w:vAlign w:val="center"/>
          </w:tcPr>
          <w:p>
            <w:pPr>
              <w:pStyle w:val="TableContents"/>
              <w:bidi w:val="0"/>
              <w:spacing w:before="0" w:after="283"/>
              <w:jc w:val="right"/>
              <w:rPr/>
            </w:pPr>
            <w:r>
              <w:rPr/>
              <w:t> </w:t>
            </w:r>
          </w:p>
        </w:tc>
        <w:tc>
          <w:tcPr>
            <w:tcW w:w="1411" w:type="dxa"/>
            <w:tcBorders>
              <w:bottom w:val="single" w:sz="4" w:space="0" w:color="000000"/>
            </w:tcBorders>
            <w:shd w:fill="D0EFFC"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241,544</w:t>
            </w:r>
            <w:r>
              <w:rPr>
                <w:rFonts w:ascii="Times New Roman" w:hAnsi="Times New Roman"/>
                <w:color w:val="000000"/>
                <w:sz w:val="20"/>
              </w:rPr>
              <w:t xml:space="preserve">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D0EF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Common stock</w:t>
            </w:r>
          </w:p>
        </w:tc>
        <w:tc>
          <w:tcPr>
            <w:tcW w:w="146" w:type="dxa"/>
            <w:tcBorders/>
            <w:shd w:fill="D0EF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EF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D0EF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1,895</w:t>
            </w:r>
            <w:r>
              <w:rPr>
                <w:rFonts w:ascii="Times New Roman" w:hAnsi="Times New Roman"/>
                <w:color w:val="000000"/>
                <w:sz w:val="20"/>
              </w:rPr>
              <w:t xml:space="preserve"> </w:t>
            </w:r>
          </w:p>
        </w:tc>
        <w:tc>
          <w:tcPr>
            <w:tcW w:w="146" w:type="dxa"/>
            <w:tcBorders/>
            <w:shd w:fill="D0EF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0EFFC"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shd w:fill="D0EF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1,883</w:t>
            </w:r>
            <w:r>
              <w:rPr>
                <w:rFonts w:ascii="Times New Roman" w:hAnsi="Times New Roman"/>
                <w:color w:val="000000"/>
                <w:sz w:val="20"/>
              </w:rPr>
              <w:t xml:space="preserve">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A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1,050</w:t>
            </w:r>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1,050</w:t>
            </w:r>
            <w:r>
              <w:rPr>
                <w:rFonts w:ascii="Times New Roman" w:hAnsi="Times New Roman"/>
                <w:color w:val="000000"/>
                <w:sz w:val="20"/>
              </w:rPr>
              <w:t xml:space="preserve"> </w:t>
            </w:r>
          </w:p>
        </w:tc>
      </w:tr>
      <w:tr>
        <w:trPr/>
        <w:tc>
          <w:tcPr>
            <w:tcW w:w="4246" w:type="dxa"/>
            <w:tcBorders/>
            <w:shd w:fill="D0EF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Additional paid-in capital</w:t>
            </w:r>
          </w:p>
        </w:tc>
        <w:tc>
          <w:tcPr>
            <w:tcW w:w="146" w:type="dxa"/>
            <w:tcBorders/>
            <w:shd w:fill="D0EF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0EF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D0EF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1,957,358</w:t>
            </w:r>
            <w:r>
              <w:rPr>
                <w:rFonts w:ascii="Times New Roman" w:hAnsi="Times New Roman"/>
                <w:color w:val="000000"/>
                <w:sz w:val="20"/>
              </w:rPr>
              <w:t xml:space="preserve"> </w:t>
            </w:r>
          </w:p>
        </w:tc>
        <w:tc>
          <w:tcPr>
            <w:tcW w:w="146" w:type="dxa"/>
            <w:tcBorders/>
            <w:shd w:fill="D0EF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0EFFC"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shd w:fill="D0EF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1,951,185</w:t>
            </w:r>
            <w:r>
              <w:rPr>
                <w:rFonts w:ascii="Times New Roman" w:hAnsi="Times New Roman"/>
                <w:color w:val="000000"/>
                <w:sz w:val="20"/>
              </w:rPr>
              <w:t xml:space="preserve">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4</w:t>
            </w:r>
            <w:r>
              <w:rPr>
                <w:rFonts w:ascii="Times New Roman" w:hAnsi="Times New Roman"/>
                <w:color w:val="000000"/>
                <w:sz w:val="20"/>
              </w:rPr>
              <w:t xml:space="preserve"> </w:t>
            </w:r>
          </w:p>
        </w:tc>
      </w:tr>
      <w:tr>
        <w:trPr/>
        <w:tc>
          <w:tcPr>
            <w:tcW w:w="4246" w:type="dxa"/>
            <w:tcBorders/>
            <w:shd w:fill="D0EF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Accumulated deficit</w:t>
            </w:r>
          </w:p>
        </w:tc>
        <w:tc>
          <w:tcPr>
            <w:tcW w:w="146" w:type="dxa"/>
            <w:tcBorders/>
            <w:shd w:fill="D0EF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0EFFC"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000000"/>
            </w:tcBorders>
            <w:shd w:fill="D0EF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(1,953,389)</w:t>
            </w:r>
          </w:p>
        </w:tc>
        <w:tc>
          <w:tcPr>
            <w:tcW w:w="146" w:type="dxa"/>
            <w:tcBorders>
              <w:bottom w:val="single" w:sz="4" w:space="0" w:color="000000"/>
            </w:tcBorders>
            <w:shd w:fill="D0EF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D0EFFC" w:val="clear"/>
            <w:tcMar>
              <w:top w:w="0" w:type="dxa"/>
              <w:left w:w="0" w:type="dxa"/>
              <w:right w:w="0" w:type="dxa"/>
            </w:tcMar>
            <w:vAlign w:val="center"/>
          </w:tcPr>
          <w:p>
            <w:pPr>
              <w:pStyle w:val="TableContents"/>
              <w:bidi w:val="0"/>
              <w:spacing w:before="0" w:after="283"/>
              <w:jc w:val="right"/>
              <w:rPr/>
            </w:pPr>
            <w:r>
              <w:rPr/>
              <w:t> </w:t>
            </w:r>
          </w:p>
        </w:tc>
        <w:tc>
          <w:tcPr>
            <w:tcW w:w="1411" w:type="dxa"/>
            <w:tcBorders>
              <w:bottom w:val="single" w:sz="4" w:space="0" w:color="000000"/>
            </w:tcBorders>
            <w:shd w:fill="D0EF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(1,939,789)</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6,908</w:t>
            </w:r>
            <w:r>
              <w:rPr>
                <w:rFonts w:ascii="Times New Roman" w:hAnsi="Times New Roman"/>
                <w:color w:val="000000"/>
                <w:sz w:val="20"/>
              </w:rPr>
              <w:t xml:space="preserv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14,333</w:t>
            </w:r>
            <w:r>
              <w:rPr>
                <w:rFonts w:ascii="Times New Roman" w:hAnsi="Times New Roman"/>
                <w:color w:val="000000"/>
                <w:sz w:val="20"/>
              </w:rPr>
              <w:t xml:space="preserve"> </w:t>
            </w:r>
          </w:p>
        </w:tc>
      </w:tr>
      <w:tr>
        <w:trPr/>
        <w:tc>
          <w:tcPr>
            <w:tcW w:w="4246" w:type="dxa"/>
            <w:tcBorders/>
            <w:shd w:fill="D0EF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and stockholders' equity</w:t>
            </w:r>
          </w:p>
        </w:tc>
        <w:tc>
          <w:tcPr>
            <w:tcW w:w="146" w:type="dxa"/>
            <w:tcBorders/>
            <w:shd w:fill="D0EF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0EF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201" w:type="dxa"/>
            <w:tcBorders>
              <w:bottom w:val="double" w:sz="6" w:space="0" w:color="000000"/>
            </w:tcBorders>
            <w:shd w:fill="D0EFFC"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252,262</w:t>
            </w:r>
            <w:r>
              <w:rPr>
                <w:rFonts w:ascii="Times New Roman" w:hAnsi="Times New Roman"/>
                <w:color w:val="000000"/>
                <w:sz w:val="20"/>
              </w:rPr>
              <w:t xml:space="preserve"> </w:t>
            </w:r>
          </w:p>
        </w:tc>
        <w:tc>
          <w:tcPr>
            <w:tcW w:w="146" w:type="dxa"/>
            <w:tcBorders>
              <w:bottom w:val="double" w:sz="6" w:space="0" w:color="000000"/>
            </w:tcBorders>
            <w:shd w:fill="D0EF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D0EF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11" w:type="dxa"/>
            <w:tcBorders>
              <w:bottom w:val="double" w:sz="6" w:space="0" w:color="000000"/>
            </w:tcBorders>
            <w:shd w:fill="D0EFFC"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255,877</w:t>
            </w:r>
            <w:r>
              <w:rPr>
                <w:rFonts w:ascii="Times New Roman" w:hAnsi="Times New Roman"/>
                <w:color w:val="000000"/>
                <w:sz w:val="20"/>
              </w:rPr>
              <w:t xml:space="preserve"> </w:t>
            </w:r>
          </w:p>
        </w:tc>
      </w:tr>
    </w:tbl>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Arial" w:hAnsi="Arial"/>
          <w:b/>
          <w:color w:val="000000"/>
          <w:sz w:val="20"/>
        </w:rPr>
      </w:pPr>
      <w:r>
        <w:rPr>
          <w:rFonts w:ascii="Arial" w:hAnsi="Arial"/>
          <w:b/>
          <w:color w:val="000000"/>
          <w:sz w:val="20"/>
        </w:rPr>
        <w:t>Heron Therapeutics, Inc.</w:t>
      </w:r>
    </w:p>
    <w:p>
      <w:pPr>
        <w:pStyle w:val="TextBody"/>
        <w:bidi w:val="0"/>
        <w:spacing w:before="120" w:after="283"/>
        <w:jc w:val="center"/>
        <w:rPr>
          <w:rFonts w:ascii="Arial" w:hAnsi="Arial"/>
          <w:color w:val="000000"/>
          <w:sz w:val="18"/>
        </w:rPr>
      </w:pPr>
      <w:r>
        <w:rPr>
          <w:rFonts w:ascii="Arial" w:hAnsi="Arial"/>
          <w:color w:val="000000"/>
          <w:sz w:val="18"/>
        </w:rPr>
        <w:t>U.S. GAAP to Non-GAAP Reconciliation</w:t>
      </w:r>
    </w:p>
    <w:p>
      <w:pPr>
        <w:pStyle w:val="TextBody"/>
        <w:bidi w:val="0"/>
        <w:spacing w:before="120" w:after="283"/>
        <w:jc w:val="center"/>
        <w:rPr>
          <w:rFonts w:ascii="Arial" w:hAnsi="Arial"/>
          <w:color w:val="000000"/>
          <w:sz w:val="18"/>
        </w:rPr>
      </w:pPr>
      <w:r>
        <w:rPr>
          <w:rFonts w:ascii="Arial" w:hAnsi="Arial"/>
          <w:color w:val="000000"/>
          <w:sz w:val="18"/>
        </w:rPr>
        <w:t>Adjusted EBITDA</w:t>
      </w:r>
    </w:p>
    <w:p>
      <w:pPr>
        <w:pStyle w:val="TextBody"/>
        <w:bidi w:val="0"/>
        <w:spacing w:before="120" w:after="283"/>
        <w:jc w:val="center"/>
        <w:rPr>
          <w:rFonts w:ascii="Arial" w:hAnsi="Arial"/>
          <w:color w:val="000000"/>
          <w:sz w:val="18"/>
        </w:rPr>
      </w:pPr>
      <w:r>
        <w:rPr>
          <w:rFonts w:ascii="Arial" w:hAnsi="Arial"/>
          <w:color w:val="000000"/>
          <w:sz w:val="18"/>
        </w:rPr>
        <w:t>(unaudited)</w:t>
      </w:r>
    </w:p>
    <w:p>
      <w:pPr>
        <w:pStyle w:val="TextBody"/>
        <w:bidi w:val="0"/>
        <w:spacing w:before="120" w:after="283"/>
        <w:jc w:val="center"/>
        <w:rPr>
          <w:rFonts w:ascii="Arial" w:hAnsi="Arial"/>
          <w:color w:val="000000"/>
          <w:sz w:val="18"/>
        </w:rPr>
      </w:pPr>
      <w:r>
        <w:rPr>
          <w:rFonts w:ascii="Arial" w:hAnsi="Arial"/>
          <w:color w:val="000000"/>
          <w:sz w:val="18"/>
        </w:rPr>
        <w:t>(in thousands)</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6514" w:type="dxa"/>
        <w:jc w:val="left"/>
        <w:tblInd w:w="0" w:type="dxa"/>
        <w:tblLayout w:type="fixed"/>
        <w:tblCellMar>
          <w:top w:w="28" w:type="dxa"/>
          <w:left w:w="28" w:type="dxa"/>
          <w:bottom w:w="28" w:type="dxa"/>
          <w:right w:w="28" w:type="dxa"/>
        </w:tblCellMar>
      </w:tblPr>
      <w:tblGrid>
        <w:gridCol w:w="2461"/>
        <w:gridCol w:w="146"/>
        <w:gridCol w:w="196"/>
        <w:gridCol w:w="631"/>
        <w:gridCol w:w="146"/>
        <w:gridCol w:w="196"/>
        <w:gridCol w:w="631"/>
        <w:gridCol w:w="146"/>
        <w:gridCol w:w="146"/>
        <w:gridCol w:w="196"/>
        <w:gridCol w:w="721"/>
        <w:gridCol w:w="146"/>
        <w:gridCol w:w="196"/>
        <w:gridCol w:w="55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0" w:type="dxa"/>
            <w:gridSpan w:val="5"/>
            <w:tcBorders>
              <w:bottom w:val="single" w:sz="4"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7"/>
              </w:rPr>
            </w:pPr>
            <w:r>
              <w:rPr>
                <w:rFonts w:ascii="Arial" w:hAnsi="Arial"/>
                <w:b/>
                <w:color w:val="000000"/>
                <w:sz w:val="17"/>
              </w:rPr>
              <w:t>Three Months Ended</w:t>
            </w:r>
          </w:p>
          <w:p>
            <w:pPr>
              <w:pStyle w:val="TableContents"/>
              <w:bidi w:val="0"/>
              <w:spacing w:before="0" w:after="283"/>
              <w:jc w:val="center"/>
              <w:rPr>
                <w:rFonts w:ascii="Arial" w:hAnsi="Arial"/>
                <w:b/>
                <w:color w:val="000000"/>
                <w:sz w:val="17"/>
              </w:rPr>
            </w:pPr>
            <w:r>
              <w:rPr>
                <w:rFonts w:ascii="Arial" w:hAnsi="Arial"/>
                <w:b/>
                <w:color w:val="000000"/>
                <w:sz w:val="17"/>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5"/>
            <w:tcBorders>
              <w:bottom w:val="single" w:sz="4"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7"/>
              </w:rPr>
            </w:pPr>
            <w:r>
              <w:rPr>
                <w:rFonts w:ascii="Arial" w:hAnsi="Arial"/>
                <w:b/>
                <w:color w:val="000000"/>
                <w:sz w:val="17"/>
              </w:rPr>
              <w:t>Six Months Ended</w:t>
            </w:r>
          </w:p>
          <w:p>
            <w:pPr>
              <w:pStyle w:val="TableContents"/>
              <w:bidi w:val="0"/>
              <w:spacing w:before="0" w:after="283"/>
              <w:jc w:val="center"/>
              <w:rPr>
                <w:rFonts w:ascii="Arial" w:hAnsi="Arial"/>
                <w:b/>
                <w:color w:val="000000"/>
                <w:sz w:val="17"/>
              </w:rPr>
            </w:pPr>
            <w:r>
              <w:rPr>
                <w:rFonts w:ascii="Arial" w:hAnsi="Arial"/>
                <w:b/>
                <w:color w:val="000000"/>
                <w:sz w:val="17"/>
              </w:rPr>
              <w:t>June 30,</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2025</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Arial" w:hAnsi="Arial"/>
                <w:color w:val="000000"/>
                <w:sz w:val="17"/>
              </w:rPr>
              <w:t>Net (loss) income</w:t>
            </w:r>
            <w:r>
              <w:rPr>
                <w:rFonts w:ascii="Times New Roman" w:hAnsi="Times New Roman"/>
                <w:color w:val="000000"/>
                <w:sz w:val="17"/>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254</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1,263</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Inventory reserve and 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447</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Project related legal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1,162</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3,178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6,154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5,308</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w:t>
            </w:r>
          </w:p>
        </w:tc>
        <w:tc>
          <w:tcPr>
            <w:tcW w:w="63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3,177</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w:t>
            </w:r>
          </w:p>
        </w:tc>
        <w:tc>
          <w:tcPr>
            <w:tcW w:w="63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2,218</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w:t>
            </w:r>
          </w:p>
        </w:tc>
        <w:tc>
          <w:tcPr>
            <w:tcW w:w="72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2,524</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w:t>
            </w:r>
          </w:p>
        </w:tc>
        <w:tc>
          <w:tcPr>
            <w:tcW w:w="55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8,434</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Arial" w:hAnsi="Arial"/>
          <w:b/>
          <w:color w:val="000000"/>
          <w:sz w:val="20"/>
        </w:rPr>
      </w:pPr>
      <w:r>
        <w:rPr>
          <w:rFonts w:ascii="Arial" w:hAnsi="Arial"/>
          <w:b/>
          <w:color w:val="000000"/>
          <w:sz w:val="20"/>
        </w:rPr>
        <w:t>Investor Relations and Media Contact:</w:t>
      </w:r>
    </w:p>
    <w:p>
      <w:pPr>
        <w:pStyle w:val="TextBody"/>
        <w:bidi w:val="0"/>
        <w:jc w:val="both"/>
        <w:rPr/>
      </w:pPr>
      <w:r>
        <w:rPr/>
        <w:t> </w:t>
      </w:r>
    </w:p>
    <w:p>
      <w:pPr>
        <w:pStyle w:val="TextBody"/>
        <w:bidi w:val="0"/>
        <w:jc w:val="left"/>
        <w:rPr>
          <w:rFonts w:ascii="Times New Roman" w:hAnsi="Times New Roman"/>
          <w:sz w:val="20"/>
        </w:rPr>
      </w:pPr>
      <w:r>
        <w:rPr>
          <w:rFonts w:ascii="Arial" w:hAnsi="Arial"/>
          <w:color w:val="000000"/>
          <w:sz w:val="20"/>
        </w:rPr>
        <w:t>Ira Duarte</w:t>
      </w:r>
      <w:r>
        <w:rPr>
          <w:rFonts w:ascii="Aptos;sans-serif" w:hAnsi="Aptos;sans-serif"/>
          <w:color w:val="000000"/>
          <w:sz w:val="22"/>
        </w:rPr>
        <w:br/>
      </w:r>
      <w:r>
        <w:rPr>
          <w:rFonts w:ascii="Arial" w:hAnsi="Arial"/>
          <w:color w:val="000000"/>
          <w:sz w:val="20"/>
        </w:rPr>
        <w:t>Executive Vice President, Chief Financial Officer</w:t>
      </w:r>
      <w:r>
        <w:rPr>
          <w:rFonts w:ascii="Aptos;sans-serif" w:hAnsi="Aptos;sans-serif"/>
          <w:color w:val="000000"/>
          <w:sz w:val="22"/>
        </w:rPr>
        <w:br/>
      </w:r>
      <w:r>
        <w:rPr>
          <w:rFonts w:ascii="Arial" w:hAnsi="Arial"/>
          <w:color w:val="000000"/>
          <w:sz w:val="20"/>
        </w:rPr>
        <w:t>Heron Therapeutics, Inc.</w:t>
      </w:r>
    </w:p>
    <w:p>
      <w:pPr>
        <w:pStyle w:val="TextBody"/>
        <w:bidi w:val="0"/>
        <w:jc w:val="left"/>
        <w:rPr>
          <w:rFonts w:ascii="Arial" w:hAnsi="Arial"/>
          <w:color w:val="467886"/>
          <w:sz w:val="20"/>
        </w:rPr>
      </w:pPr>
      <w:r>
        <w:rPr>
          <w:rFonts w:ascii="Arial" w:hAnsi="Arial"/>
          <w:color w:val="467886"/>
          <w:sz w:val="20"/>
        </w:rPr>
        <w:t>iduarte@herontx.com</w:t>
      </w:r>
    </w:p>
    <w:p>
      <w:pPr>
        <w:pStyle w:val="TextBody"/>
        <w:bidi w:val="0"/>
        <w:jc w:val="left"/>
        <w:rPr>
          <w:rFonts w:ascii="Arial" w:hAnsi="Arial"/>
          <w:color w:val="000000"/>
          <w:sz w:val="20"/>
        </w:rPr>
      </w:pPr>
      <w:r>
        <w:rPr>
          <w:rFonts w:ascii="Arial" w:hAnsi="Arial"/>
          <w:color w:val="000000"/>
          <w:sz w:val="20"/>
        </w:rPr>
        <w:t>858-251-4400</w:t>
      </w:r>
    </w:p>
    <w:p>
      <w:pPr>
        <w:pStyle w:val="TextBody"/>
        <w:bidi w:val="0"/>
        <w:jc w:val="both"/>
        <w:rPr/>
      </w:pPr>
      <w:r>
        <w:rPr/>
        <w:t> </w:t>
      </w:r>
    </w:p>
    <w:p>
      <w:pPr>
        <w:pStyle w:val="TextBody"/>
        <w:bidi w:val="0"/>
        <w:jc w:val="both"/>
        <w:rPr/>
      </w:pPr>
      <w:bookmarkStart w:id="16" w:name="range_a1_e33"/>
      <w:bookmarkEnd w:id="16"/>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3319</Words>
  <Characters>18782</Characters>
  <CharactersWithSpaces>22347</CharactersWithSpaces>
  <Paragraphs>973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