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rtx-20260923.htm"/>
      <w:bookmarkStart w:id="1" w:name="kshrtx20260923"/>
      <w:bookmarkEnd w:id="0"/>
      <w:bookmarkEnd w:id="1"/>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23, 2026</w:t>
      </w:r>
    </w:p>
    <w:p>
      <w:pPr>
        <w:pStyle w:val="TextBody"/>
        <w:bidi w:val="0"/>
        <w:spacing w:before="120" w:after="283"/>
        <w:jc w:val="center"/>
        <w:rPr>
          <w:rFonts w:ascii="Times New Roman" w:hAnsi="Times New Roman"/>
          <w:sz w:val="48"/>
        </w:rPr>
      </w:pPr>
      <w:r>
        <w:rPr>
          <w:rFonts w:ascii="Times New Roman" w:hAnsi="Times New Roman"/>
          <w:b/>
          <w:color w:val="000000"/>
          <w:sz w:val="48"/>
        </w:rPr>
        <w:t>Heron Therapeutics,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94-2875566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791" w:type="dxa"/>
        <w:jc w:val="left"/>
        <w:tblInd w:w="0" w:type="dxa"/>
        <w:tblLayout w:type="fixed"/>
        <w:tblCellMar>
          <w:top w:w="28" w:type="dxa"/>
          <w:left w:w="28" w:type="dxa"/>
          <w:bottom w:w="28" w:type="dxa"/>
          <w:right w:w="28" w:type="dxa"/>
        </w:tblCellMar>
      </w:tblPr>
      <w:tblGrid>
        <w:gridCol w:w="3751"/>
        <w:gridCol w:w="109"/>
        <w:gridCol w:w="93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 Fenton Main Street, Suite 300, Cary, NC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27511</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251-4400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120" w:after="283"/>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8651" w:type="dxa"/>
        <w:jc w:val="left"/>
        <w:tblInd w:w="0" w:type="dxa"/>
        <w:tblLayout w:type="fixed"/>
        <w:tblCellMar>
          <w:top w:w="28" w:type="dxa"/>
          <w:left w:w="28" w:type="dxa"/>
          <w:bottom w:w="28" w:type="dxa"/>
          <w:right w:w="28" w:type="dxa"/>
        </w:tblCellMar>
      </w:tblPr>
      <w:tblGrid>
        <w:gridCol w:w="3661"/>
        <w:gridCol w:w="109"/>
        <w:gridCol w:w="1456"/>
        <w:gridCol w:w="109"/>
        <w:gridCol w:w="331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HRTX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23, 2026 (the “Effective Date”), Heron Therapeutics, Inc., a Delaware corporation (the “Company”), entered into a multi-product Development and License Agreement (the “License Agreement”) with Long Grove Pharmaceuticals, LLC, a Delaware limited liability company (“Long Grove”), and Capstone Development Services Company, LLC, a Delaware limited liability company (“Capstone”), which provided for, among other things, the grant by Long Grove to the Company of an exclusive (as to the licensed patents), sublicensable license to import, distribute, sell and market certain products in the United States, including its territories, commonwealths and possessions (the “Territory”), and a non-exclusive license to manufacture such products worldwide for sale in the Territory and certain obligations to collaborate on developing and commercializing such products. Capstone is a party to the License Agreement solely to provide certain exclusivity covenants and backstop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License Agreement, the Company shall pay to Long Grove certain regulatory milestone payments, sales-based milestone payments, and royalty payments and be reimbursed for certain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License Agreement has an initial term of ten (10) years following the first commercial sale of any product, with automatic two (2)-year renewal terms, and may be terminated by either Party upon the occurrence of certain conditions customary for agreements of this type.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License Agreement does not purport to be complete and is qualified in its entirety by reference to the License Agreement, a copy of which will be filed as an exhibit to the Company’s Quarterly Report on Form 10-Q for the fiscal quarter ending September 30, 2026.</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1081"/>
        <w:gridCol w:w="109"/>
        <w:gridCol w:w="660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580" w:type="dxa"/>
        <w:jc w:val="left"/>
        <w:tblInd w:w="0" w:type="dxa"/>
        <w:tblLayout w:type="fixed"/>
        <w:tblCellMar>
          <w:top w:w="28" w:type="dxa"/>
          <w:left w:w="28" w:type="dxa"/>
          <w:bottom w:w="28" w:type="dxa"/>
          <w:right w:w="28" w:type="dxa"/>
        </w:tblCellMar>
      </w:tblPr>
      <w:tblGrid>
        <w:gridCol w:w="2221"/>
        <w:gridCol w:w="109"/>
        <w:gridCol w:w="109"/>
        <w:gridCol w:w="414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Heron Therapeutics, Inc.</w:t>
            </w:r>
          </w:p>
        </w:tc>
      </w:tr>
      <w:tr>
        <w:trPr/>
        <w:tc>
          <w:tcPr>
            <w:tcW w:w="658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Ira Duarte</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Ira Duarte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644</Words>
  <Characters>3653</Characters>
  <CharactersWithSpaces>4280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