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Collard Craig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FENTON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HERON THERAPEUTICS,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771,682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82,781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16 equal quarterly installments beginning one quarter after the date of grant (01/19/2024).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/s/Kathryn Lester Attorney-in-fact for Craig Collard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3558" TargetMode="External"/><Relationship Id="rId5" Type="http://schemas.openxmlformats.org/officeDocument/2006/relationships/hyperlink" Target="http://www.sec.gov/cgi-bin/browse-edgar?action=getcompany&amp;CIK=0000818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3358</Characters>
  <CharactersWithSpaces>3896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