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Duarte Ira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980"/>
        <w:spacing w:after="0" w:line="344" w:lineRule="auto"/>
        <w:rPr>
          <w:sz w:val="20"/>
          <w:szCs w:val="20"/>
          <w:color w:val="auto"/>
        </w:rPr>
      </w:pPr>
      <w:r>
        <w:rPr>
          <w:rFonts w:ascii="Times New Roman" w:cs="Times New Roman" w:eastAsia="Times New Roman" w:hAnsi="Times New Roman"/>
          <w:sz w:val="17"/>
          <w:szCs w:val="17"/>
          <w:color w:val="0000FF"/>
        </w:rPr>
        <w:t>25 FENTON MAIN STREET SUITE 300</w:t>
      </w:r>
    </w:p>
    <w:p>
      <w:pPr>
        <w:spacing w:after="0" w:line="17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CARY</w:t>
      </w:r>
      <w:r>
        <w:rPr>
          <w:sz w:val="20"/>
          <w:szCs w:val="20"/>
          <w:color w:val="auto"/>
        </w:rPr>
        <w:tab/>
      </w:r>
      <w:r>
        <w:rPr>
          <w:rFonts w:ascii="Times New Roman" w:cs="Times New Roman" w:eastAsia="Times New Roman" w:hAnsi="Times New Roman"/>
          <w:sz w:val="17"/>
          <w:szCs w:val="17"/>
          <w:color w:val="0000FF"/>
        </w:rPr>
        <w:t>NC</w:t>
      </w:r>
      <w:r>
        <w:rPr>
          <w:sz w:val="20"/>
          <w:szCs w:val="20"/>
          <w:color w:val="auto"/>
        </w:rPr>
        <w:tab/>
      </w:r>
      <w:r>
        <w:rPr>
          <w:rFonts w:ascii="Times New Roman" w:cs="Times New Roman" w:eastAsia="Times New Roman" w:hAnsi="Times New Roman"/>
          <w:sz w:val="16"/>
          <w:szCs w:val="16"/>
          <w:color w:val="0000FF"/>
        </w:rPr>
        <w:t>27511</w:t>
      </w:r>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3"/>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HERON THERAPEUTICS, INC. /DE/ </w:t>
              </w:r>
            </w:hyperlink>
            <w:r>
              <w:rPr>
                <w:rFonts w:ascii="Times New Roman" w:cs="Times New Roman" w:eastAsia="Times New Roman" w:hAnsi="Times New Roman"/>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3240" w:type="dxa"/>
            <w:vAlign w:val="bottom"/>
            <w:tcBorders>
              <w:bottom w:val="single" w:sz="8" w:color="0000EE"/>
            </w:tcBorders>
          </w:tcPr>
          <w:p>
            <w:pPr>
              <w:spacing w:after="0"/>
              <w:rPr>
                <w:sz w:val="3"/>
                <w:szCs w:val="3"/>
                <w:color w:val="auto"/>
              </w:rPr>
            </w:pPr>
          </w:p>
        </w:tc>
        <w:tc>
          <w:tcPr>
            <w:tcW w:w="52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3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HRTX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820" w:type="dxa"/>
            <w:vAlign w:val="bottom"/>
            <w:gridSpan w:val="3"/>
            <w:vMerge w:val="continue"/>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0" w:type="dxa"/>
            <w:vAlign w:val="bottom"/>
            <w:tcBorders>
              <w:bottom w:val="single" w:sz="8" w:color="2C2C2C"/>
            </w:tcBorders>
          </w:tcPr>
          <w:p>
            <w:pPr>
              <w:spacing w:after="0"/>
              <w:rPr>
                <w:sz w:val="15"/>
                <w:szCs w:val="15"/>
                <w:color w:val="auto"/>
              </w:rPr>
            </w:pPr>
          </w:p>
        </w:tc>
        <w:tc>
          <w:tcPr>
            <w:tcW w:w="32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840" w:type="dxa"/>
            <w:vAlign w:val="bottom"/>
          </w:tcPr>
          <w:p>
            <w:pPr>
              <w:ind w:left="6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1"/>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680"/>
              <w:spacing w:after="0" w:line="181" w:lineRule="exact"/>
              <w:rPr>
                <w:sz w:val="20"/>
                <w:szCs w:val="20"/>
                <w:color w:val="auto"/>
              </w:rPr>
            </w:pPr>
            <w:r>
              <w:rPr>
                <w:rFonts w:ascii="Times New Roman" w:cs="Times New Roman" w:eastAsia="Times New Roman" w:hAnsi="Times New Roman"/>
                <w:sz w:val="17"/>
                <w:szCs w:val="17"/>
                <w:color w:val="0000FF"/>
              </w:rPr>
              <w:t>EVP, Chief Financial Officer</w:t>
            </w:r>
          </w:p>
        </w:tc>
        <w:tc>
          <w:tcPr>
            <w:tcW w:w="0" w:type="dxa"/>
            <w:vAlign w:val="bottom"/>
          </w:tcPr>
          <w:p>
            <w:pPr>
              <w:spacing w:after="0"/>
              <w:rPr>
                <w:sz w:val="1"/>
                <w:szCs w:val="1"/>
                <w:color w:val="auto"/>
              </w:rPr>
            </w:pPr>
          </w:p>
        </w:tc>
      </w:tr>
      <w:tr>
        <w:trPr>
          <w:trHeight w:val="218"/>
        </w:trPr>
        <w:tc>
          <w:tcPr>
            <w:tcW w:w="33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06/16/2026</w:t>
            </w:r>
          </w:p>
        </w:tc>
        <w:tc>
          <w:tcPr>
            <w:tcW w:w="5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0" w:type="dxa"/>
            <w:vAlign w:val="bottom"/>
            <w:tcBorders>
              <w:bottom w:val="single" w:sz="8" w:color="2C2C2C"/>
            </w:tcBorders>
          </w:tcPr>
          <w:p>
            <w:pPr>
              <w:spacing w:after="0"/>
              <w:rPr>
                <w:sz w:val="15"/>
                <w:szCs w:val="15"/>
                <w:color w:val="auto"/>
              </w:rPr>
            </w:pPr>
          </w:p>
        </w:tc>
        <w:tc>
          <w:tcPr>
            <w:tcW w:w="32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120" w:space="72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06/16/2026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12,500</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264,628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06/16/2026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3,555</w:t>
            </w:r>
          </w:p>
        </w:tc>
        <w:tc>
          <w:tcPr>
            <w:tcW w:w="80" w:type="dxa"/>
            <w:vAlign w:val="bottom"/>
          </w:tcPr>
          <w:p>
            <w:pPr>
              <w:spacing w:after="0"/>
              <w:rPr>
                <w:sz w:val="22"/>
                <w:szCs w:val="22"/>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0.38</w:t>
            </w: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261,073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12,500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12,500</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12,500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four equal annual installments beginning one year after the date of grant, subject to the Reporting Person's continued service to the Issuer through the vesting date.</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/s/Kathryn Lester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06/17/2026</w:t>
            </w:r>
          </w:p>
        </w:tc>
        <w:tc>
          <w:tcPr>
            <w:tcW w:w="0" w:type="dxa"/>
            <w:vAlign w:val="bottom"/>
          </w:tcPr>
          <w:p>
            <w:pPr>
              <w:spacing w:after="0"/>
              <w:rPr>
                <w:sz w:val="1"/>
                <w:szCs w:val="1"/>
                <w:color w:val="auto"/>
              </w:rPr>
            </w:pPr>
          </w:p>
        </w:tc>
      </w:tr>
      <w:tr>
        <w:trPr>
          <w:trHeight w:val="88"/>
        </w:trPr>
        <w:tc>
          <w:tcPr>
            <w:tcW w:w="122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fact for Ira Duarte</w:t>
            </w:r>
          </w:p>
        </w:tc>
        <w:tc>
          <w:tcPr>
            <w:tcW w:w="9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20" w:type="dxa"/>
            <w:vAlign w:val="bottom"/>
            <w:tcBorders>
              <w:bottom w:val="single" w:sz="8" w:color="auto"/>
            </w:tcBorders>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88864" TargetMode="External"/><Relationship Id="rId14" Type="http://schemas.openxmlformats.org/officeDocument/2006/relationships/hyperlink" Target="http://www.sec.gov/cgi-bin/browse-edgar?action=getcompany&amp;CIK=00008180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2026-06-17T09:54:06Z</dcterms:created>
  <dcterms:modified xsi:type="dcterms:W3CDTF">2026-06-17T09:54:06Z</dcterms:modified>
</cp:coreProperties>
</file>