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2026</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Heron Therapeutics,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28"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001-33221</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94-2875566</w:t>
      </w:r>
    </w:p>
    <w:p>
      <w:pPr>
        <w:spacing w:after="0" w:line="24" w:lineRule="exact"/>
        <w:rPr>
          <w:sz w:val="24"/>
          <w:szCs w:val="24"/>
          <w:color w:val="auto"/>
        </w:rPr>
      </w:pPr>
    </w:p>
    <w:p>
      <w:pPr>
        <w:sectPr>
          <w:pgSz w:w="11900" w:h="16838" w:orient="portrait"/>
          <w:cols w:equalWidth="0" w:num="3">
            <w:col w:w="5280" w:space="720"/>
            <w:col w:w="2400" w:space="720"/>
            <w:col w:w="1980"/>
          </w:cols>
          <w:pgMar w:left="320" w:top="1440" w:right="47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5260" w:space="720"/>
            <w:col w:w="2280" w:space="720"/>
            <w:col w:w="2120"/>
          </w:cols>
          <w:pgMar w:left="320" w:top="1440" w:right="47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7"/>
          <w:szCs w:val="17"/>
          <w:b w:val="1"/>
          <w:bCs w:val="1"/>
          <w:color w:val="auto"/>
        </w:rPr>
        <w:t>25 Fenton Main Street, Suite 300, Cary,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27511</w:t>
      </w:r>
    </w:p>
    <w:p>
      <w:pPr>
        <w:spacing w:after="0" w:line="31" w:lineRule="exact"/>
        <w:rPr>
          <w:sz w:val="24"/>
          <w:szCs w:val="24"/>
          <w:color w:val="auto"/>
        </w:rPr>
      </w:pPr>
    </w:p>
    <w:p>
      <w:pPr>
        <w:sectPr>
          <w:pgSz w:w="11900" w:h="16838" w:orient="portrait"/>
          <w:cols w:equalWidth="0" w:num="2">
            <w:col w:w="9480" w:space="720"/>
            <w:col w:w="900"/>
          </w:cols>
          <w:pgMar w:left="320" w:top="1440" w:right="47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9380" w:space="720"/>
            <w:col w:w="1000"/>
          </w:cols>
          <w:pgMar w:left="320" w:top="1440" w:right="47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251-4400</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2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80" w:firstLine="21"/>
        <w:spacing w:after="0" w:line="387" w:lineRule="auto"/>
        <w:tabs>
          <w:tab w:leader="none" w:pos="2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760" w:space="720"/>
            <w:col w:w="1620" w:space="720"/>
            <w:col w:w="3280"/>
          </w:cols>
          <w:pgMar w:left="320" w:top="1440" w:right="47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HRTX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Capital Market</w:t>
      </w:r>
    </w:p>
    <w:p>
      <w:pPr>
        <w:spacing w:after="0" w:line="107" w:lineRule="exact"/>
        <w:rPr>
          <w:sz w:val="24"/>
          <w:szCs w:val="24"/>
          <w:color w:val="auto"/>
        </w:rPr>
      </w:pPr>
    </w:p>
    <w:p>
      <w:pPr>
        <w:sectPr>
          <w:pgSz w:w="11900" w:h="16838" w:orient="portrait"/>
          <w:cols w:equalWidth="0" w:num="3">
            <w:col w:w="5060" w:space="720"/>
            <w:col w:w="1580" w:space="720"/>
            <w:col w:w="3020"/>
          </w:cols>
          <w:pgMar w:left="320" w:top="1440"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On June 25, 2026, Heron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received a written notice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from the Listing Qualifications Department of The Nasdaq Stock Market, LLC (“</w:t>
      </w:r>
      <w:r>
        <w:rPr>
          <w:rFonts w:ascii="Times New Roman" w:cs="Times New Roman" w:eastAsia="Times New Roman" w:hAnsi="Times New Roman"/>
          <w:sz w:val="17"/>
          <w:szCs w:val="17"/>
          <w:b w:val="1"/>
          <w:bCs w:val="1"/>
          <w:i w:val="1"/>
          <w:iCs w:val="1"/>
          <w:color w:val="auto"/>
        </w:rPr>
        <w:t>Nasdaq</w:t>
      </w:r>
      <w:r>
        <w:rPr>
          <w:rFonts w:ascii="Times New Roman" w:cs="Times New Roman" w:eastAsia="Times New Roman" w:hAnsi="Times New Roman"/>
          <w:sz w:val="17"/>
          <w:szCs w:val="17"/>
          <w:color w:val="auto"/>
        </w:rPr>
        <w:t>”) notifying it that the closing bid price of the Company’s common shares over a period of thirty (30) consecutive trading days was below the minimum $1.00 per share requirement for continued listing on The Nasdaq Capital Market under Nasdaq Listing Rule 5550(a)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during the May 12, 2026 to June 24, 2026 period.</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accordance with applicable Nasdaq procedures, the Company has been provided a period of 180 calendar days, or until December 22, 2026, to cure the deficiency and regain compliance. The Notice states that if at any time during this compliance period the closing bid price of the Company’s common shares is at least $1.00 per share for a minimum of ten consecutive days, Nasdaq will provide the Company with written confirmation of compliance. Nasdaq may, in its discretion, require the Company to satisfy the minimum bid price requirement for a period in excess of ten consecutive business days, but generally no more than twenty consecutive business days, before determining that the Company has demonstrated an ability to maintain long-term compliance. The Notice has no immediate impact on the listing or trading of the Company’s common shares, which will continue to be listed and trade on The Nasdaq Capital Market subject to the Company’s continued compliance with the other listing requirements of The Nasdaq Capital Market. The common shares of the Company will continue to trade under the symbol “HRTX”. The Company intends to monitor the closing share price for its common shares and explore available options to regain compliance.</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the Company does not regain compliance with the minimum bid price requirement during the initial 180 calendar day period, the Company may be eligible for an additional 180 calendar day compliance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to Nasdaq of its intention to cure the deficiency during the second 180 calendar day compliance period, by effecting a reverse stock split, if necessary. If it appears to Nasdaq staff that the Company will not be able to cure the deficiency, or if the Company is otherwise not eligible, the Company may not be entitled to an additional 180 calendar day compliance period and Nasdaq will provide notice to the Company that its securities will be subject to delisting. If the Company is notified by Nasdaq that its securities are subject to delisting, the Company may appeal such determination to a Nasdaq Hearings Panel, but there can be no assurance that the Nasdaq staff would grant any request for continued listing. There can be no assurance that the Company will be able to regain compliance with the minimum bid price requirement during the initial compliance period or any additional compliance period, or that the Company will otherwise maintain compliance with the other Nasdaq listing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as defined by the Private Securities Litigation Reform Act of 1995. Forward-looking statements involve risks and uncertainties. Actual results and the timing of events could differ materially from those anticipated in the forward-looking statements as a result of these risks and uncertainties. Examples of forward-looking statements include, among others, statements regarding whether the Company will meet the bid price requirement during any compliance period or otherwise in the future, the Company’s plans or options to regain compliance, whether the Company will otherwise continue to meet Nasdaq compliance standards, whether Nasdaq will grant the Company any relief from delisting as necessary and the ability for the common stock to remain listed on Nasdaq. Important factors that could cause actual results to differ materially from those in the forward-looking statements are set forth in the Company’s most recent Annual Report on Form 10-K and any subsequent Quarterly Reports on Form 10-Q, and in the Company’s other reports filed with the Securities and Exchange Commission, including under the caption “Risk Factors.” The Company undertakes no obligation to update or revise these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1147445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57"/>
        </w:trPr>
        <w:tc>
          <w:tcPr>
            <w:tcW w:w="138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Heron Therapeutics, Inc.</w:t>
            </w:r>
          </w:p>
        </w:tc>
      </w:tr>
      <w:tr>
        <w:trPr>
          <w:trHeight w:val="43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25, 2026</w:t>
            </w:r>
          </w:p>
        </w:tc>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Ira Duarte</w:t>
            </w:r>
          </w:p>
        </w:tc>
      </w:tr>
      <w:tr>
        <w:trPr>
          <w:trHeight w:val="191"/>
        </w:trPr>
        <w:tc>
          <w:tcPr>
            <w:tcW w:w="3940" w:type="dxa"/>
            <w:vAlign w:val="bottom"/>
          </w:tcPr>
          <w:p>
            <w:pPr>
              <w:spacing w:after="0"/>
              <w:rPr>
                <w:sz w:val="16"/>
                <w:szCs w:val="16"/>
                <w:color w:val="auto"/>
              </w:rPr>
            </w:pPr>
          </w:p>
        </w:tc>
        <w:tc>
          <w:tcPr>
            <w:tcW w:w="7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Ira Duarte</w:t>
            </w:r>
          </w:p>
        </w:tc>
      </w:t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445"/>
        </w:trPr>
        <w:tc>
          <w:tcPr>
            <w:tcW w:w="394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r>
        <w:trPr>
          <w:trHeight w:val="1621"/>
        </w:trPr>
        <w:tc>
          <w:tcPr>
            <w:tcW w:w="39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2026-06-25T17:47:34Z</dcterms:created>
  <dcterms:modified xsi:type="dcterms:W3CDTF">2026-06-25T17:47:34Z</dcterms:modified>
</cp:coreProperties>
</file>