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13G</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(Amendment No. 8)*</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Heron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427746102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426720</wp:posOffset>
            </wp:positionH>
            <wp:positionV relativeFrom="paragraph">
              <wp:posOffset>-101600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426720</wp:posOffset>
            </wp:positionH>
            <wp:positionV relativeFrom="paragraph">
              <wp:posOffset>-375920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-101600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5" w:lineRule="exact"/>
        <w:rPr>
          <w:sz w:val="24"/>
          <w:szCs w:val="24"/>
          <w:color w:val="auto"/>
        </w:rPr>
      </w:pPr>
    </w:p>
    <w:p>
      <w:pPr>
        <w:ind w:right="4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698" w:right="4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427746102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0575" cy="5735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5735320"/>
                    </a:xfrm>
                    <a:prstGeom prst="rect">
                      <a:avLst/>
                    </a:prstGeom>
                    <a:noFill/>
                  </pic:spPr>
                </pic:pic>
              </a:graphicData>
            </a:graphic>
          </wp:anchor>
        </w:drawing>
      </w:r>
    </w:p>
    <w:p>
      <w:pPr>
        <w:spacing w:after="0" w:line="300" w:lineRule="exact"/>
        <w:rPr>
          <w:sz w:val="20"/>
          <w:szCs w:val="20"/>
          <w:color w:val="auto"/>
        </w:rPr>
      </w:pPr>
    </w:p>
    <w:p>
      <w:pPr>
        <w:ind w:left="920" w:hanging="552"/>
        <w:spacing w:after="0"/>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Baker Bros. Advisors LP</w:t>
            </w:r>
          </w:p>
        </w:tc>
        <w:tc>
          <w:tcPr>
            <w:tcW w:w="2340" w:type="dxa"/>
            <w:vAlign w:val="bottom"/>
          </w:tcPr>
          <w:p>
            <w:pPr>
              <w:spacing w:after="0"/>
              <w:rPr>
                <w:sz w:val="20"/>
                <w:szCs w:val="20"/>
                <w:color w:val="auto"/>
              </w:rPr>
            </w:pPr>
          </w:p>
        </w:tc>
      </w:tr>
      <w:tr>
        <w:trPr>
          <w:trHeight w:val="81"/>
        </w:trPr>
        <w:tc>
          <w:tcPr>
            <w:tcW w:w="700" w:type="dxa"/>
            <w:vAlign w:val="bottom"/>
            <w:tcBorders>
              <w:bottom w:val="single" w:sz="8" w:color="auto"/>
            </w:tcBorders>
          </w:tcPr>
          <w:p>
            <w:pPr>
              <w:spacing w:after="0"/>
              <w:rPr>
                <w:sz w:val="7"/>
                <w:szCs w:val="7"/>
                <w:color w:val="auto"/>
              </w:rPr>
            </w:pPr>
          </w:p>
        </w:tc>
        <w:tc>
          <w:tcPr>
            <w:tcW w:w="822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44"/>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2340" w:type="dxa"/>
            <w:vAlign w:val="bottom"/>
          </w:tcPr>
          <w:p>
            <w:pPr>
              <w:ind w:left="130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rPr>
              <w:t>☐</w:t>
            </w:r>
          </w:p>
        </w:tc>
      </w:tr>
      <w:tr>
        <w:trPr>
          <w:trHeight w:val="283"/>
        </w:trPr>
        <w:tc>
          <w:tcPr>
            <w:tcW w:w="7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340" w:type="dxa"/>
            <w:vAlign w:val="bottom"/>
          </w:tcPr>
          <w:p>
            <w:pPr>
              <w:ind w:left="130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 </w:t>
            </w:r>
            <w:r>
              <w:rPr>
                <w:rFonts w:ascii="MS PGothic" w:cs="MS PGothic" w:eastAsia="MS PGothic" w:hAnsi="MS PGothic"/>
                <w:sz w:val="18"/>
                <w:szCs w:val="18"/>
                <w:color w:val="auto"/>
              </w:rPr>
              <w:t>☐</w:t>
            </w:r>
          </w:p>
        </w:tc>
      </w:tr>
    </w:tbl>
    <w:p>
      <w:pPr>
        <w:spacing w:after="0" w:line="133" w:lineRule="exact"/>
        <w:rPr>
          <w:sz w:val="20"/>
          <w:szCs w:val="20"/>
          <w:color w:val="auto"/>
        </w:rPr>
      </w:pPr>
    </w:p>
    <w:p>
      <w:pPr>
        <w:ind w:left="920" w:hanging="552"/>
        <w:spacing w:after="0"/>
        <w:tabs>
          <w:tab w:leader="none" w:pos="9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185" w:lineRule="exact"/>
        <w:rPr>
          <w:sz w:val="20"/>
          <w:szCs w:val="20"/>
          <w:color w:val="auto"/>
        </w:rPr>
      </w:pPr>
    </w:p>
    <w:p>
      <w:pPr>
        <w:ind w:left="920" w:right="6400" w:hanging="552"/>
        <w:spacing w:after="0" w:line="477" w:lineRule="auto"/>
        <w:tabs>
          <w:tab w:leader="none" w:pos="9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ind w:left="2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b w:val="1"/>
          <w:bCs w:val="1"/>
          <w:color w:val="auto"/>
        </w:rPr>
        <w:t>SOLE VOTING POWER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8,064,832 (1)</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8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7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6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9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vMerge w:val="continue"/>
          </w:tcPr>
          <w:p>
            <w:pPr>
              <w:spacing w:after="0"/>
              <w:rPr>
                <w:sz w:val="13"/>
                <w:szCs w:val="13"/>
                <w:color w:val="auto"/>
              </w:rPr>
            </w:pPr>
          </w:p>
        </w:tc>
        <w:tc>
          <w:tcPr>
            <w:tcW w:w="686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90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68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Pr>
          <w:p>
            <w:pPr>
              <w:spacing w:after="0"/>
              <w:rPr>
                <w:sz w:val="18"/>
                <w:szCs w:val="18"/>
                <w:color w:val="auto"/>
              </w:rPr>
            </w:pPr>
          </w:p>
        </w:tc>
        <w:tc>
          <w:tcPr>
            <w:tcW w:w="68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9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540" w:type="dxa"/>
            <w:vAlign w:val="bottom"/>
          </w:tcPr>
          <w:p>
            <w:pPr>
              <w:spacing w:after="0"/>
              <w:rPr>
                <w:sz w:val="13"/>
                <w:szCs w:val="13"/>
                <w:color w:val="auto"/>
              </w:rPr>
            </w:pPr>
          </w:p>
        </w:tc>
        <w:tc>
          <w:tcPr>
            <w:tcW w:w="686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900" w:type="dxa"/>
            <w:vAlign w:val="bottom"/>
            <w:gridSpan w:val="4"/>
            <w:vMerge w:val="continue"/>
          </w:tcPr>
          <w:p>
            <w:pPr>
              <w:spacing w:after="0"/>
              <w:rPr>
                <w:sz w:val="7"/>
                <w:szCs w:val="7"/>
                <w:color w:val="auto"/>
              </w:rPr>
            </w:pPr>
          </w:p>
        </w:tc>
        <w:tc>
          <w:tcPr>
            <w:tcW w:w="540" w:type="dxa"/>
            <w:vAlign w:val="bottom"/>
          </w:tcPr>
          <w:p>
            <w:pPr>
              <w:spacing w:after="0"/>
              <w:rPr>
                <w:sz w:val="7"/>
                <w:szCs w:val="7"/>
                <w:color w:val="auto"/>
              </w:rPr>
            </w:pPr>
          </w:p>
        </w:tc>
        <w:tc>
          <w:tcPr>
            <w:tcW w:w="68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60" w:type="dxa"/>
            <w:vAlign w:val="bottom"/>
          </w:tcPr>
          <w:p>
            <w:pPr>
              <w:spacing w:after="0"/>
              <w:rPr>
                <w:sz w:val="15"/>
                <w:szCs w:val="15"/>
                <w:color w:val="auto"/>
              </w:rPr>
            </w:pPr>
          </w:p>
        </w:tc>
        <w:tc>
          <w:tcPr>
            <w:tcW w:w="1140" w:type="dxa"/>
            <w:vAlign w:val="bottom"/>
            <w:gridSpan w:val="2"/>
          </w:tcPr>
          <w:p>
            <w:pPr>
              <w:jc w:val="center"/>
              <w:ind w:right="4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686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40" w:type="dxa"/>
            <w:vAlign w:val="bottom"/>
            <w:vMerge w:val="continue"/>
          </w:tcPr>
          <w:p>
            <w:pPr>
              <w:spacing w:after="0"/>
              <w:rPr>
                <w:sz w:val="10"/>
                <w:szCs w:val="10"/>
                <w:color w:val="auto"/>
              </w:rPr>
            </w:pPr>
          </w:p>
        </w:tc>
        <w:tc>
          <w:tcPr>
            <w:tcW w:w="686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0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Pr>
          <w:p>
            <w:pPr>
              <w:spacing w:after="0"/>
              <w:rPr>
                <w:sz w:val="18"/>
                <w:szCs w:val="18"/>
                <w:color w:val="auto"/>
              </w:rPr>
            </w:pPr>
          </w:p>
        </w:tc>
        <w:tc>
          <w:tcPr>
            <w:tcW w:w="68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8,064,832 (1)</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340" w:type="dxa"/>
            <w:vAlign w:val="bottom"/>
            <w:gridSpan w:val="3"/>
            <w:vMerge w:val="restart"/>
          </w:tcPr>
          <w:p>
            <w:pPr>
              <w:jc w:val="center"/>
              <w:ind w:right="740"/>
              <w:spacing w:after="0" w:line="198" w:lineRule="exact"/>
              <w:rPr>
                <w:sz w:val="20"/>
                <w:szCs w:val="20"/>
                <w:color w:val="auto"/>
              </w:rPr>
            </w:pPr>
            <w:r>
              <w:rPr>
                <w:rFonts w:ascii="Times New Roman" w:cs="Times New Roman" w:eastAsia="Times New Roman" w:hAnsi="Times New Roman"/>
                <w:sz w:val="18"/>
                <w:szCs w:val="18"/>
                <w:b w:val="1"/>
                <w:bCs w:val="1"/>
                <w:color w:val="auto"/>
              </w:rPr>
              <w:t>WITH</w:t>
            </w:r>
          </w:p>
        </w:tc>
        <w:tc>
          <w:tcPr>
            <w:tcW w:w="540" w:type="dxa"/>
            <w:vAlign w:val="bottom"/>
          </w:tcPr>
          <w:p>
            <w:pPr>
              <w:spacing w:after="0"/>
              <w:rPr>
                <w:sz w:val="10"/>
                <w:szCs w:val="10"/>
                <w:color w:val="auto"/>
              </w:rPr>
            </w:pPr>
          </w:p>
        </w:tc>
        <w:tc>
          <w:tcPr>
            <w:tcW w:w="686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6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68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68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6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8,064,832 (1)</w:t>
            </w:r>
          </w:p>
        </w:tc>
        <w:tc>
          <w:tcPr>
            <w:tcW w:w="6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60" w:type="dxa"/>
            <w:vAlign w:val="bottom"/>
            <w:tcBorders>
              <w:right w:val="single" w:sz="8" w:color="auto"/>
            </w:tcBorders>
          </w:tcPr>
          <w:p>
            <w:pPr>
              <w:spacing w:after="0"/>
              <w:rPr>
                <w:sz w:val="23"/>
                <w:szCs w:val="23"/>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9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6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6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8.7% (1)(2)</w:t>
            </w:r>
          </w:p>
        </w:tc>
        <w:tc>
          <w:tcPr>
            <w:tcW w:w="6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IA, PN</w:t>
            </w:r>
          </w:p>
        </w:tc>
        <w:tc>
          <w:tcPr>
            <w:tcW w:w="5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8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0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1,874,554 shares of common stock (“Common Stock”) of Heron Therapeutics, Inc. (the “Issuer”) issuable upon conversion of the Convertible Notes (as defined in Item 4 below) and 195,574 shares of Common Stock issuable upon the exercise of the 2021 Warrants (as defined in Item 4 below) that are subject to the limitations on conversion or exercise described in Item 4.</w:t>
      </w:r>
    </w:p>
    <w:p>
      <w:pPr>
        <w:spacing w:after="0" w:line="1" w:lineRule="exact"/>
        <w:rPr>
          <w:rFonts w:ascii="Times New Roman" w:cs="Times New Roman" w:eastAsia="Times New Roman" w:hAnsi="Times New Roman"/>
          <w:sz w:val="18"/>
          <w:szCs w:val="18"/>
          <w:color w:val="auto"/>
        </w:rPr>
      </w:pPr>
    </w:p>
    <w:p>
      <w:pPr>
        <w:ind w:left="660" w:right="10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90,855,254 shares of Common Stock outstanding as of October 29, 2020, as reported in the Issuer’s Form 10-Q filed with the Securities and Exchange Commission (the “SEC”) on November 5, 2020, plus 1,874,554 shares of Common Stock issuable upon conversion of the Convertible Notes (as defined in Item 4 below) and 195,574 shares of Common Stock issuable upon the exercise of the 2021 Warrants (as defined in Item 4 below) that are subject to the limitations on conversion or exercise described in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0" w:right="31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427746102</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560" w:type="dxa"/>
            <w:vAlign w:val="bottom"/>
            <w:tcBorders>
              <w:top w:val="single" w:sz="8" w:color="auto"/>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top w:val="single" w:sz="8" w:color="auto"/>
              <w:right w:val="single" w:sz="8" w:color="auto"/>
            </w:tcBorders>
          </w:tcPr>
          <w:p>
            <w:pPr>
              <w:spacing w:after="0"/>
              <w:rPr>
                <w:sz w:val="24"/>
                <w:szCs w:val="24"/>
                <w:color w:val="auto"/>
              </w:rPr>
            </w:pPr>
          </w:p>
        </w:tc>
        <w:tc>
          <w:tcPr>
            <w:tcW w:w="84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Baker Bros. Advisors (GP) LLC</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right w:val="single" w:sz="8" w:color="auto"/>
            </w:tcBorders>
          </w:tcPr>
          <w:p>
            <w:pPr>
              <w:spacing w:after="0"/>
              <w:rPr>
                <w:sz w:val="21"/>
                <w:szCs w:val="21"/>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1960" w:type="dxa"/>
            <w:vAlign w:val="bottom"/>
            <w:tcBorders>
              <w:right w:val="single" w:sz="8" w:color="auto"/>
            </w:tcBorders>
          </w:tcPr>
          <w:p>
            <w:pPr>
              <w:ind w:left="9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560" w:type="dxa"/>
            <w:vAlign w:val="bottom"/>
            <w:tcBorders>
              <w:left w:val="single" w:sz="8" w:color="auto"/>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Borders>
              <w:right w:val="single" w:sz="8" w:color="auto"/>
            </w:tcBorders>
          </w:tcPr>
          <w:p>
            <w:pPr>
              <w:spacing w:after="0"/>
              <w:rPr>
                <w:sz w:val="24"/>
                <w:szCs w:val="24"/>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8,064,832 (1)</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6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6800" w:type="dxa"/>
            <w:vAlign w:val="bottom"/>
            <w:vMerge w:val="continue"/>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800" w:type="dxa"/>
            <w:vAlign w:val="bottom"/>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2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6800" w:type="dxa"/>
            <w:vAlign w:val="bottom"/>
            <w:vMerge w:val="continue"/>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60" w:type="dxa"/>
            <w:vAlign w:val="bottom"/>
            <w:tcBorders>
              <w:left w:val="single" w:sz="8" w:color="auto"/>
            </w:tcBorders>
          </w:tcPr>
          <w:p>
            <w:pPr>
              <w:spacing w:after="0"/>
              <w:rPr>
                <w:sz w:val="15"/>
                <w:szCs w:val="15"/>
                <w:color w:val="auto"/>
              </w:rPr>
            </w:pPr>
          </w:p>
        </w:tc>
        <w:tc>
          <w:tcPr>
            <w:tcW w:w="1160" w:type="dxa"/>
            <w:vAlign w:val="bottom"/>
            <w:tcBorders>
              <w:right w:val="single" w:sz="8" w:color="auto"/>
            </w:tcBorders>
            <w:gridSpan w:val="2"/>
          </w:tcPr>
          <w:p>
            <w:pPr>
              <w:jc w:val="center"/>
              <w:ind w:right="4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220" w:type="dxa"/>
            <w:vAlign w:val="bottom"/>
          </w:tcPr>
          <w:p>
            <w:pPr>
              <w:spacing w:after="0"/>
              <w:rPr>
                <w:sz w:val="15"/>
                <w:szCs w:val="15"/>
                <w:color w:val="auto"/>
              </w:rPr>
            </w:pPr>
          </w:p>
        </w:tc>
        <w:tc>
          <w:tcPr>
            <w:tcW w:w="56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6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2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6800" w:type="dxa"/>
            <w:vAlign w:val="bottom"/>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2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8,064,832 (1)</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60" w:type="dxa"/>
            <w:vAlign w:val="bottom"/>
            <w:tcBorders>
              <w:left w:val="single" w:sz="8" w:color="auto"/>
            </w:tcBorders>
          </w:tcPr>
          <w:p>
            <w:pPr>
              <w:spacing w:after="0"/>
              <w:rPr>
                <w:sz w:val="10"/>
                <w:szCs w:val="10"/>
                <w:color w:val="auto"/>
              </w:rPr>
            </w:pPr>
          </w:p>
        </w:tc>
        <w:tc>
          <w:tcPr>
            <w:tcW w:w="1160" w:type="dxa"/>
            <w:vAlign w:val="bottom"/>
            <w:tcBorders>
              <w:right w:val="single" w:sz="8" w:color="auto"/>
            </w:tcBorders>
            <w:gridSpan w:val="2"/>
            <w:vMerge w:val="restart"/>
          </w:tcPr>
          <w:p>
            <w:pPr>
              <w:jc w:val="center"/>
              <w:ind w:right="470"/>
              <w:spacing w:after="0" w:line="198" w:lineRule="exact"/>
              <w:rPr>
                <w:sz w:val="20"/>
                <w:szCs w:val="20"/>
                <w:color w:val="auto"/>
              </w:rPr>
            </w:pPr>
            <w:r>
              <w:rPr>
                <w:rFonts w:ascii="Times New Roman" w:cs="Times New Roman" w:eastAsia="Times New Roman" w:hAnsi="Times New Roman"/>
                <w:sz w:val="18"/>
                <w:szCs w:val="18"/>
                <w:b w:val="1"/>
                <w:bCs w:val="1"/>
                <w:color w:val="auto"/>
              </w:rPr>
              <w:t>WITH</w:t>
            </w:r>
          </w:p>
        </w:tc>
        <w:tc>
          <w:tcPr>
            <w:tcW w:w="2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800" w:type="dxa"/>
            <w:vAlign w:val="bottom"/>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1160" w:type="dxa"/>
            <w:vAlign w:val="bottom"/>
            <w:tcBorders>
              <w:right w:val="single" w:sz="8" w:color="auto"/>
            </w:tcBorders>
            <w:gridSpan w:val="2"/>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gridSpan w:val="2"/>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8,064,832 (1)</w:t>
            </w: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60" w:type="dxa"/>
            <w:vAlign w:val="bottom"/>
            <w:tcBorders>
              <w:right w:val="single" w:sz="8" w:color="auto"/>
            </w:tcBorders>
          </w:tcPr>
          <w:p>
            <w:pPr>
              <w:spacing w:after="0"/>
              <w:rPr>
                <w:sz w:val="23"/>
                <w:szCs w:val="23"/>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960" w:type="dxa"/>
            <w:vAlign w:val="bottom"/>
            <w:tcBorders>
              <w:right w:val="single" w:sz="8" w:color="auto"/>
            </w:tcBorders>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680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8.7% (1)(2)</w:t>
            </w: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HC, OO</w:t>
            </w:r>
          </w:p>
        </w:tc>
        <w:tc>
          <w:tcPr>
            <w:tcW w:w="5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8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1,874,554 shares of Common Stock issuable upon conversion of the Convertible Notes (as defined in Item 4 below) and 195,574 shares of Common Stock issuable upon the exercise of the 2021 Warrants (as defined in Item 4 below) that are subject to the limitations on conversion or exercise described in Item 4.</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90,855,254 shares of Common Stock outstanding as of October 29, 2020, as reported in the Issuer’s Form 10-Q filed with the SEC on November 5, 2020, plus 1,874,554 shares of Common Stock issuable upon conversion of the Convertible Notes (as defined in Item 4 below) and 195,574 shares of Common Stock issuable upon the exercise of the 2021 Warrants (as defined in Item 4 below) that are subject to the limitations on conversion or exercise described in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0" w:right="31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427746102</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560" w:type="dxa"/>
            <w:vAlign w:val="bottom"/>
            <w:tcBorders>
              <w:top w:val="single" w:sz="8" w:color="auto"/>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top w:val="single" w:sz="8" w:color="auto"/>
              <w:right w:val="single" w:sz="8" w:color="auto"/>
            </w:tcBorders>
          </w:tcPr>
          <w:p>
            <w:pPr>
              <w:spacing w:after="0"/>
              <w:rPr>
                <w:sz w:val="24"/>
                <w:szCs w:val="24"/>
                <w:color w:val="auto"/>
              </w:rPr>
            </w:pPr>
          </w:p>
        </w:tc>
        <w:tc>
          <w:tcPr>
            <w:tcW w:w="84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Felix J. Baker</w:t>
            </w:r>
          </w:p>
        </w:tc>
        <w:tc>
          <w:tcPr>
            <w:tcW w:w="5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right w:val="single" w:sz="8" w:color="auto"/>
            </w:tcBorders>
          </w:tcPr>
          <w:p>
            <w:pPr>
              <w:spacing w:after="0"/>
              <w:rPr>
                <w:sz w:val="21"/>
                <w:szCs w:val="21"/>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1960" w:type="dxa"/>
            <w:vAlign w:val="bottom"/>
            <w:tcBorders>
              <w:right w:val="single" w:sz="8" w:color="auto"/>
            </w:tcBorders>
          </w:tcPr>
          <w:p>
            <w:pPr>
              <w:ind w:left="9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560" w:type="dxa"/>
            <w:vAlign w:val="bottom"/>
            <w:tcBorders>
              <w:left w:val="single" w:sz="8" w:color="auto"/>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Borders>
              <w:right w:val="single" w:sz="8" w:color="auto"/>
            </w:tcBorders>
          </w:tcPr>
          <w:p>
            <w:pPr>
              <w:spacing w:after="0"/>
              <w:rPr>
                <w:sz w:val="24"/>
                <w:szCs w:val="24"/>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8,064,832 (1)</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6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3"/>
                <w:szCs w:val="13"/>
                <w:color w:val="auto"/>
              </w:rPr>
            </w:pPr>
          </w:p>
        </w:tc>
        <w:tc>
          <w:tcPr>
            <w:tcW w:w="520" w:type="dxa"/>
            <w:vAlign w:val="bottom"/>
            <w:tcBorders>
              <w:right w:val="single" w:sz="8" w:color="auto"/>
            </w:tcBorders>
            <w:vMerge w:val="continue"/>
          </w:tcPr>
          <w:p>
            <w:pPr>
              <w:spacing w:after="0"/>
              <w:rPr>
                <w:sz w:val="13"/>
                <w:szCs w:val="13"/>
                <w:color w:val="auto"/>
              </w:rPr>
            </w:pPr>
          </w:p>
        </w:tc>
        <w:tc>
          <w:tcPr>
            <w:tcW w:w="6800" w:type="dxa"/>
            <w:vAlign w:val="bottom"/>
            <w:vMerge w:val="continue"/>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6800" w:type="dxa"/>
            <w:vAlign w:val="bottom"/>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8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2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6800" w:type="dxa"/>
            <w:vAlign w:val="bottom"/>
            <w:vMerge w:val="continue"/>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60" w:type="dxa"/>
            <w:vAlign w:val="bottom"/>
            <w:tcBorders>
              <w:left w:val="single" w:sz="8" w:color="auto"/>
            </w:tcBorders>
          </w:tcPr>
          <w:p>
            <w:pPr>
              <w:spacing w:after="0"/>
              <w:rPr>
                <w:sz w:val="15"/>
                <w:szCs w:val="15"/>
                <w:color w:val="auto"/>
              </w:rPr>
            </w:pPr>
          </w:p>
        </w:tc>
        <w:tc>
          <w:tcPr>
            <w:tcW w:w="1160" w:type="dxa"/>
            <w:vAlign w:val="bottom"/>
            <w:tcBorders>
              <w:right w:val="single" w:sz="8" w:color="auto"/>
            </w:tcBorders>
            <w:gridSpan w:val="2"/>
          </w:tcPr>
          <w:p>
            <w:pPr>
              <w:jc w:val="center"/>
              <w:ind w:right="4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6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2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6800" w:type="dxa"/>
            <w:vAlign w:val="bottom"/>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8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8,064,832 (1)</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60" w:type="dxa"/>
            <w:vAlign w:val="bottom"/>
            <w:tcBorders>
              <w:left w:val="single" w:sz="8" w:color="auto"/>
            </w:tcBorders>
          </w:tcPr>
          <w:p>
            <w:pPr>
              <w:spacing w:after="0"/>
              <w:rPr>
                <w:sz w:val="10"/>
                <w:szCs w:val="10"/>
                <w:color w:val="auto"/>
              </w:rPr>
            </w:pPr>
          </w:p>
        </w:tc>
        <w:tc>
          <w:tcPr>
            <w:tcW w:w="1160" w:type="dxa"/>
            <w:vAlign w:val="bottom"/>
            <w:tcBorders>
              <w:right w:val="single" w:sz="8" w:color="auto"/>
            </w:tcBorders>
            <w:gridSpan w:val="2"/>
            <w:vMerge w:val="restart"/>
          </w:tcPr>
          <w:p>
            <w:pPr>
              <w:jc w:val="center"/>
              <w:ind w:right="470"/>
              <w:spacing w:after="0" w:line="198" w:lineRule="exact"/>
              <w:rPr>
                <w:sz w:val="20"/>
                <w:szCs w:val="20"/>
                <w:color w:val="auto"/>
              </w:rPr>
            </w:pPr>
            <w:r>
              <w:rPr>
                <w:rFonts w:ascii="Times New Roman" w:cs="Times New Roman" w:eastAsia="Times New Roman" w:hAnsi="Times New Roman"/>
                <w:sz w:val="18"/>
                <w:szCs w:val="18"/>
                <w:b w:val="1"/>
                <w:bCs w:val="1"/>
                <w:color w:val="auto"/>
              </w:rPr>
              <w:t>WITH</w:t>
            </w:r>
          </w:p>
        </w:tc>
        <w:tc>
          <w:tcPr>
            <w:tcW w:w="2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800" w:type="dxa"/>
            <w:vAlign w:val="bottom"/>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1160" w:type="dxa"/>
            <w:vAlign w:val="bottom"/>
            <w:tcBorders>
              <w:right w:val="single" w:sz="8" w:color="auto"/>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gridSpan w:val="2"/>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8,064,832 (1)</w:t>
            </w: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60" w:type="dxa"/>
            <w:vAlign w:val="bottom"/>
            <w:tcBorders>
              <w:right w:val="single" w:sz="8" w:color="auto"/>
            </w:tcBorders>
          </w:tcPr>
          <w:p>
            <w:pPr>
              <w:spacing w:after="0"/>
              <w:rPr>
                <w:sz w:val="23"/>
                <w:szCs w:val="23"/>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960" w:type="dxa"/>
            <w:vAlign w:val="bottom"/>
            <w:tcBorders>
              <w:right w:val="single" w:sz="8" w:color="auto"/>
            </w:tcBorders>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680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8.7% (1)(2)</w:t>
            </w: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 HC</w:t>
            </w:r>
          </w:p>
        </w:tc>
        <w:tc>
          <w:tcPr>
            <w:tcW w:w="5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8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1,874,554 shares of Common Stock issuable upon conversion of the Convertible Notes (as defined in Item 4 below) and 195,574 shares of Common Stock issuable upon exercise of the 2021 Warrants (as defined in Item 4 below) that are subject to the limitations on conversion or exercise described in Item 4.</w:t>
      </w:r>
    </w:p>
    <w:p>
      <w:pPr>
        <w:spacing w:after="0" w:line="1" w:lineRule="exact"/>
        <w:rPr>
          <w:rFonts w:ascii="Times New Roman" w:cs="Times New Roman" w:eastAsia="Times New Roman" w:hAnsi="Times New Roman"/>
          <w:sz w:val="18"/>
          <w:szCs w:val="18"/>
          <w:color w:val="auto"/>
        </w:rPr>
      </w:pPr>
    </w:p>
    <w:p>
      <w:pPr>
        <w:ind w:left="660" w:right="180" w:hanging="328"/>
        <w:spacing w:after="0" w:line="25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90,855,254 shares of Common Stock outstanding as of October 29, 2020, as reported in the Issuer’s Form 10-Q filed with the SEC on November 5, 2020, plus 1,874,554 shares of Common Stock issuable upon conversion of the Convertible Notes (as defined in Item 4 below) and 195,574 shares of Common Stock issuable upon exercise of the 2021 Warrants (as defined in Item 4 below) that are subject to the limitations on conversion or exercise described in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0" w:right="31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427746102</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560" w:type="dxa"/>
            <w:vAlign w:val="bottom"/>
            <w:tcBorders>
              <w:top w:val="single" w:sz="8" w:color="auto"/>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top w:val="single" w:sz="8" w:color="auto"/>
              <w:right w:val="single" w:sz="8" w:color="auto"/>
            </w:tcBorders>
          </w:tcPr>
          <w:p>
            <w:pPr>
              <w:spacing w:after="0"/>
              <w:rPr>
                <w:sz w:val="24"/>
                <w:szCs w:val="24"/>
                <w:color w:val="auto"/>
              </w:rPr>
            </w:pPr>
          </w:p>
        </w:tc>
        <w:tc>
          <w:tcPr>
            <w:tcW w:w="84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Julian C. Baker</w:t>
            </w:r>
          </w:p>
        </w:tc>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right w:val="single" w:sz="8" w:color="auto"/>
            </w:tcBorders>
          </w:tcPr>
          <w:p>
            <w:pPr>
              <w:spacing w:after="0"/>
              <w:rPr>
                <w:sz w:val="21"/>
                <w:szCs w:val="21"/>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1960" w:type="dxa"/>
            <w:vAlign w:val="bottom"/>
            <w:tcBorders>
              <w:right w:val="single" w:sz="8" w:color="auto"/>
            </w:tcBorders>
          </w:tcPr>
          <w:p>
            <w:pPr>
              <w:ind w:left="9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560" w:type="dxa"/>
            <w:vAlign w:val="bottom"/>
            <w:tcBorders>
              <w:left w:val="single" w:sz="8" w:color="auto"/>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Borders>
              <w:right w:val="single" w:sz="8" w:color="auto"/>
            </w:tcBorders>
          </w:tcPr>
          <w:p>
            <w:pPr>
              <w:spacing w:after="0"/>
              <w:rPr>
                <w:sz w:val="24"/>
                <w:szCs w:val="24"/>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8,064,832 (1)</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Pr>
          <w:p>
            <w:pPr>
              <w:spacing w:after="0"/>
              <w:rPr>
                <w:sz w:val="13"/>
                <w:szCs w:val="13"/>
                <w:color w:val="auto"/>
              </w:rPr>
            </w:pPr>
          </w:p>
        </w:tc>
        <w:tc>
          <w:tcPr>
            <w:tcW w:w="460" w:type="dxa"/>
            <w:vAlign w:val="bottom"/>
            <w:tcBorders>
              <w:right w:val="single" w:sz="8" w:color="auto"/>
            </w:tcBorders>
            <w:vMerge w:val="continue"/>
          </w:tcPr>
          <w:p>
            <w:pPr>
              <w:spacing w:after="0"/>
              <w:rPr>
                <w:sz w:val="13"/>
                <w:szCs w:val="13"/>
                <w:color w:val="auto"/>
              </w:rPr>
            </w:pPr>
          </w:p>
        </w:tc>
        <w:tc>
          <w:tcPr>
            <w:tcW w:w="6800" w:type="dxa"/>
            <w:vAlign w:val="bottom"/>
            <w:vMerge w:val="continue"/>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800" w:type="dxa"/>
            <w:vAlign w:val="bottom"/>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8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2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6800" w:type="dxa"/>
            <w:vAlign w:val="bottom"/>
            <w:vMerge w:val="continue"/>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60" w:type="dxa"/>
            <w:vAlign w:val="bottom"/>
            <w:tcBorders>
              <w:left w:val="single" w:sz="8" w:color="auto"/>
            </w:tcBorders>
          </w:tcPr>
          <w:p>
            <w:pPr>
              <w:spacing w:after="0"/>
              <w:rPr>
                <w:sz w:val="15"/>
                <w:szCs w:val="15"/>
                <w:color w:val="auto"/>
              </w:rPr>
            </w:pPr>
          </w:p>
        </w:tc>
        <w:tc>
          <w:tcPr>
            <w:tcW w:w="1160" w:type="dxa"/>
            <w:vAlign w:val="bottom"/>
            <w:tcBorders>
              <w:right w:val="single" w:sz="8" w:color="auto"/>
            </w:tcBorders>
            <w:gridSpan w:val="2"/>
          </w:tcPr>
          <w:p>
            <w:pPr>
              <w:jc w:val="center"/>
              <w:ind w:right="4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320" w:type="dxa"/>
            <w:vAlign w:val="bottom"/>
          </w:tcPr>
          <w:p>
            <w:pPr>
              <w:spacing w:after="0"/>
              <w:rPr>
                <w:sz w:val="15"/>
                <w:szCs w:val="15"/>
                <w:color w:val="auto"/>
              </w:rPr>
            </w:pPr>
          </w:p>
        </w:tc>
        <w:tc>
          <w:tcPr>
            <w:tcW w:w="46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32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6800" w:type="dxa"/>
            <w:vAlign w:val="bottom"/>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3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8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8,064,832 (1)</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60" w:type="dxa"/>
            <w:vAlign w:val="bottom"/>
            <w:tcBorders>
              <w:left w:val="single" w:sz="8" w:color="auto"/>
            </w:tcBorders>
          </w:tcPr>
          <w:p>
            <w:pPr>
              <w:spacing w:after="0"/>
              <w:rPr>
                <w:sz w:val="10"/>
                <w:szCs w:val="10"/>
                <w:color w:val="auto"/>
              </w:rPr>
            </w:pPr>
          </w:p>
        </w:tc>
        <w:tc>
          <w:tcPr>
            <w:tcW w:w="1160" w:type="dxa"/>
            <w:vAlign w:val="bottom"/>
            <w:tcBorders>
              <w:right w:val="single" w:sz="8" w:color="auto"/>
            </w:tcBorders>
            <w:gridSpan w:val="2"/>
            <w:vMerge w:val="restart"/>
          </w:tcPr>
          <w:p>
            <w:pPr>
              <w:jc w:val="center"/>
              <w:ind w:right="470"/>
              <w:spacing w:after="0" w:line="198" w:lineRule="exact"/>
              <w:rPr>
                <w:sz w:val="20"/>
                <w:szCs w:val="20"/>
                <w:color w:val="auto"/>
              </w:rPr>
            </w:pPr>
            <w:r>
              <w:rPr>
                <w:rFonts w:ascii="Times New Roman" w:cs="Times New Roman" w:eastAsia="Times New Roman" w:hAnsi="Times New Roman"/>
                <w:sz w:val="18"/>
                <w:szCs w:val="18"/>
                <w:b w:val="1"/>
                <w:bCs w:val="1"/>
                <w:color w:val="auto"/>
              </w:rPr>
              <w:t>WITH</w:t>
            </w:r>
          </w:p>
        </w:tc>
        <w:tc>
          <w:tcPr>
            <w:tcW w:w="3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800" w:type="dxa"/>
            <w:vAlign w:val="bottom"/>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1160" w:type="dxa"/>
            <w:vAlign w:val="bottom"/>
            <w:tcBorders>
              <w:right w:val="single" w:sz="8" w:color="auto"/>
            </w:tcBorders>
            <w:gridSpan w:val="2"/>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gridSpan w:val="2"/>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8,064,832 (1)</w:t>
            </w: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60" w:type="dxa"/>
            <w:vAlign w:val="bottom"/>
            <w:tcBorders>
              <w:right w:val="single" w:sz="8" w:color="auto"/>
            </w:tcBorders>
          </w:tcPr>
          <w:p>
            <w:pPr>
              <w:spacing w:after="0"/>
              <w:rPr>
                <w:sz w:val="23"/>
                <w:szCs w:val="23"/>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960" w:type="dxa"/>
            <w:vAlign w:val="bottom"/>
            <w:tcBorders>
              <w:right w:val="single" w:sz="8" w:color="auto"/>
            </w:tcBorders>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680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8.7% (1)(2)</w:t>
            </w: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480" w:type="dxa"/>
            <w:vAlign w:val="bottom"/>
            <w:tcBorders>
              <w:bottom w:val="single" w:sz="8" w:color="auto"/>
            </w:tcBorders>
            <w:gridSpan w:val="4"/>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60" w:type="dxa"/>
            <w:vAlign w:val="bottom"/>
            <w:tcBorders>
              <w:right w:val="single" w:sz="8" w:color="auto"/>
            </w:tcBorders>
          </w:tcPr>
          <w:p>
            <w:pPr>
              <w:spacing w:after="0"/>
              <w:rPr>
                <w:sz w:val="24"/>
                <w:szCs w:val="24"/>
                <w:color w:val="auto"/>
              </w:rPr>
            </w:pPr>
          </w:p>
        </w:tc>
        <w:tc>
          <w:tcPr>
            <w:tcW w:w="8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 HC</w:t>
            </w:r>
          </w:p>
        </w:tc>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8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1,874,554 shares of Common Stock issuable upon conversion of the Convertible Notes (as defined in Item 4 below) and 195,574 shares of Common Stock issuable upon the exercise of the 2021 Warrants (as defined in Item 4 below) that are subject to the limitations on conversion or exercise described in Item 4.</w:t>
      </w:r>
    </w:p>
    <w:p>
      <w:pPr>
        <w:spacing w:after="0" w:line="1" w:lineRule="exact"/>
        <w:rPr>
          <w:rFonts w:ascii="Times New Roman" w:cs="Times New Roman" w:eastAsia="Times New Roman" w:hAnsi="Times New Roman"/>
          <w:sz w:val="18"/>
          <w:szCs w:val="18"/>
          <w:color w:val="auto"/>
        </w:rPr>
      </w:pPr>
    </w:p>
    <w:p>
      <w:pPr>
        <w:ind w:left="660" w:right="18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90,855,254 shares of Common Stock outstanding as of October 29, 2020, as reported in the Issuer’s Form 10-Q filed with the SEC on November 5, 2020, plus 1,874,554 shares of Common Stock issuable upon conversion of the Convertible Notes (as defined in Item 4 below) and 195,574 shares of Common Stock issuable upon the exercise of the 2021 Warrants (as defined in Item 4 below) that are subject to the limitations on conversion or exercise described in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8 to Schedule 13G</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Amendment No. 8 to Schedule 13G amends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Heron Therapeutics, Inc. (the “Issuer”)</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4242 Campus Point Court, Ste. 200</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Diego, CA 92121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This Amendment No. 8 is being filed jointly by the Reporting Persons.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business address of each of the Reporting Persons is: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Baker Bros. Advisors LP</w:t>
            </w:r>
          </w:p>
        </w:tc>
      </w:tr>
      <w:tr>
        <w:trPr>
          <w:trHeight w:val="595"/>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860 Washington Street,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tc>
      </w:tr>
      <w:tr>
        <w:trPr>
          <w:trHeight w:val="309"/>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York, NY 10014</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339-5690</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Adviser is a limited partnership organized under the laws of the State of Delaware. The Adviser GP is a limited liability company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organized under the laws of the State of Delaware. The citizenship of each of Julian C. Baker and Felix J. Baker is the United States of</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America.</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par value $0.01 per share (“Common Stock”)</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11" w:lineRule="exact"/>
        <w:rPr>
          <w:sz w:val="20"/>
          <w:szCs w:val="20"/>
          <w:color w:val="auto"/>
        </w:rPr>
      </w:pPr>
    </w:p>
    <w:p>
      <w:pPr>
        <w:sectPr>
          <w:pgSz w:w="11900" w:h="16838" w:orient="portrait"/>
          <w:cols w:equalWidth="0" w:num="2">
            <w:col w:w="700" w:space="600"/>
            <w:col w:w="9940"/>
          </w:cols>
          <w:pgMar w:left="320" w:top="900" w:right="339" w:bottom="1440" w:gutter="0" w:footer="0" w:header="0"/>
        </w:sectPr>
      </w:pP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427746102</w:t>
      </w:r>
    </w:p>
    <w:p>
      <w:pPr>
        <w:sectPr>
          <w:pgSz w:w="11900" w:h="16838" w:orient="portrait"/>
          <w:cols w:equalWidth="0" w:num="1">
            <w:col w:w="11240"/>
          </w:cols>
          <w:pgMar w:left="320" w:top="90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(c), check whether the person filing is a:</w:t>
      </w:r>
    </w:p>
    <w:p>
      <w:pPr>
        <w:spacing w:after="0" w:line="200" w:lineRule="exact"/>
        <w:rPr>
          <w:sz w:val="20"/>
          <w:szCs w:val="20"/>
          <w:color w:val="auto"/>
        </w:rPr>
      </w:pPr>
    </w:p>
    <w:p>
      <w:pPr>
        <w:sectPr>
          <w:pgSz w:w="11900" w:h="16838" w:orient="portrait"/>
          <w:cols w:equalWidth="0" w:num="2">
            <w:col w:w="580" w:space="720"/>
            <w:col w:w="9940"/>
          </w:cols>
          <w:pgMar w:left="320" w:top="900" w:right="339" w:bottom="1440" w:gutter="0" w:footer="0" w:header="0"/>
          <w:type w:val="continuous"/>
        </w:sectPr>
      </w:pPr>
    </w:p>
    <w:p>
      <w:pPr>
        <w:ind w:left="1300"/>
        <w:spacing w:after="0" w:line="184"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Broker or dealer registered under Section 15 of the Exchange Act.</w:t>
      </w:r>
    </w:p>
    <w:p>
      <w:pPr>
        <w:spacing w:after="0" w:line="200" w:lineRule="exact"/>
        <w:rPr>
          <w:sz w:val="20"/>
          <w:szCs w:val="20"/>
          <w:color w:val="auto"/>
        </w:rPr>
      </w:pPr>
    </w:p>
    <w:p>
      <w:pPr>
        <w:sectPr>
          <w:pgSz w:w="11900" w:h="16838" w:orient="portrait"/>
          <w:cols w:equalWidth="0" w:num="2">
            <w:col w:w="1700" w:space="60"/>
            <w:col w:w="9480"/>
          </w:cols>
          <w:pgMar w:left="320" w:top="900" w:right="339" w:bottom="1440" w:gutter="0" w:footer="0" w:header="0"/>
          <w:type w:val="continuous"/>
        </w:sectPr>
      </w:pPr>
    </w:p>
    <w:p>
      <w:pPr>
        <w:spacing w:after="0" w:line="8" w:lineRule="exact"/>
        <w:rPr>
          <w:sz w:val="20"/>
          <w:szCs w:val="20"/>
          <w:color w:val="auto"/>
        </w:rPr>
      </w:pPr>
    </w:p>
    <w:p>
      <w:pPr>
        <w:ind w:left="1300"/>
        <w:spacing w:after="0" w:line="196" w:lineRule="exact"/>
        <w:rPr>
          <w:sz w:val="20"/>
          <w:szCs w:val="20"/>
          <w:color w:val="auto"/>
        </w:rPr>
      </w:pP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p>
      <w:pPr>
        <w:spacing w:after="0" w:line="196" w:lineRule="exact"/>
        <w:rPr>
          <w:sz w:val="20"/>
          <w:szCs w:val="20"/>
          <w:color w:val="auto"/>
        </w:rPr>
      </w:pPr>
    </w:p>
    <w:p>
      <w:pPr>
        <w:sectPr>
          <w:pgSz w:w="11900" w:h="16838" w:orient="portrait"/>
          <w:cols w:equalWidth="0" w:num="2">
            <w:col w:w="1720" w:space="40"/>
            <w:col w:w="9480"/>
          </w:cols>
          <w:pgMar w:left="320" w:top="900" w:right="339" w:bottom="1440" w:gutter="0" w:footer="0" w:header="0"/>
          <w:type w:val="continuous"/>
        </w:sectPr>
      </w:pPr>
    </w:p>
    <w:p>
      <w:pPr>
        <w:ind w:left="1300"/>
        <w:spacing w:after="0" w:line="184" w:lineRule="exact"/>
        <w:rPr>
          <w:sz w:val="20"/>
          <w:szCs w:val="20"/>
          <w:color w:val="auto"/>
        </w:rPr>
      </w:pPr>
      <w:r>
        <w:rPr>
          <w:rFonts w:ascii="Times New Roman" w:cs="Times New Roman" w:eastAsia="Times New Roman" w:hAnsi="Times New Roman"/>
          <w:sz w:val="16"/>
          <w:szCs w:val="16"/>
          <w:color w:val="auto"/>
        </w:rPr>
        <w:t xml:space="preserve">(c)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 company as defined in section 3(a)(19) of the Exchange Act.</w:t>
      </w:r>
    </w:p>
    <w:p>
      <w:pPr>
        <w:spacing w:after="0" w:line="200" w:lineRule="exact"/>
        <w:rPr>
          <w:sz w:val="20"/>
          <w:szCs w:val="20"/>
          <w:color w:val="auto"/>
        </w:rPr>
      </w:pPr>
    </w:p>
    <w:p>
      <w:pPr>
        <w:sectPr>
          <w:pgSz w:w="11900" w:h="16838" w:orient="portrait"/>
          <w:cols w:equalWidth="0" w:num="2">
            <w:col w:w="1700" w:space="60"/>
            <w:col w:w="9480"/>
          </w:cols>
          <w:pgMar w:left="320" w:top="900" w:right="339" w:bottom="1440" w:gutter="0" w:footer="0" w:header="0"/>
          <w:type w:val="continuous"/>
        </w:sectPr>
      </w:pPr>
    </w:p>
    <w:p>
      <w:pPr>
        <w:spacing w:after="0" w:line="8" w:lineRule="exact"/>
        <w:rPr>
          <w:sz w:val="20"/>
          <w:szCs w:val="20"/>
          <w:color w:val="auto"/>
        </w:rPr>
      </w:pPr>
    </w:p>
    <w:p>
      <w:pPr>
        <w:ind w:left="1300"/>
        <w:spacing w:after="0" w:line="196" w:lineRule="exact"/>
        <w:rPr>
          <w:sz w:val="20"/>
          <w:szCs w:val="20"/>
          <w:color w:val="auto"/>
        </w:rPr>
      </w:pPr>
      <w:r>
        <w:rPr>
          <w:rFonts w:ascii="Times New Roman" w:cs="Times New Roman" w:eastAsia="Times New Roman" w:hAnsi="Times New Roman"/>
          <w:sz w:val="17"/>
          <w:szCs w:val="17"/>
          <w:color w:val="auto"/>
        </w:rPr>
        <w:t xml:space="preserve">(d)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720" w:space="40"/>
            <w:col w:w="9480"/>
          </w:cols>
          <w:pgMar w:left="320" w:top="900" w:right="339" w:bottom="1440" w:gutter="0" w:footer="0" w:header="0"/>
          <w:type w:val="continuous"/>
        </w:sectPr>
      </w:pPr>
    </w:p>
    <w:p>
      <w:pPr>
        <w:spacing w:after="0" w:line="8" w:lineRule="exact"/>
        <w:rPr>
          <w:sz w:val="20"/>
          <w:szCs w:val="20"/>
          <w:color w:val="auto"/>
        </w:rPr>
      </w:pPr>
    </w:p>
    <w:p>
      <w:pPr>
        <w:ind w:left="1300"/>
        <w:spacing w:after="0" w:line="184" w:lineRule="exact"/>
        <w:rPr>
          <w:sz w:val="20"/>
          <w:szCs w:val="20"/>
          <w:color w:val="auto"/>
        </w:rPr>
      </w:pPr>
      <w:r>
        <w:rPr>
          <w:rFonts w:ascii="Times New Roman" w:cs="Times New Roman" w:eastAsia="Times New Roman" w:hAnsi="Times New Roman"/>
          <w:sz w:val="16"/>
          <w:szCs w:val="16"/>
          <w:color w:val="auto"/>
        </w:rPr>
        <w:t xml:space="preserve">(e)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investment adviser in accordance with Rule 13d-1(b)(1)(ii)(E).</w:t>
      </w:r>
    </w:p>
    <w:p>
      <w:pPr>
        <w:spacing w:after="0" w:line="200" w:lineRule="exact"/>
        <w:rPr>
          <w:sz w:val="20"/>
          <w:szCs w:val="20"/>
          <w:color w:val="auto"/>
        </w:rPr>
      </w:pPr>
    </w:p>
    <w:p>
      <w:pPr>
        <w:sectPr>
          <w:pgSz w:w="11900" w:h="16838" w:orient="portrait"/>
          <w:cols w:equalWidth="0" w:num="2">
            <w:col w:w="1700" w:space="60"/>
            <w:col w:w="9480"/>
          </w:cols>
          <w:pgMar w:left="320" w:top="900" w:right="339" w:bottom="1440" w:gutter="0" w:footer="0" w:header="0"/>
          <w:type w:val="continuous"/>
        </w:sectPr>
      </w:pPr>
    </w:p>
    <w:p>
      <w:pPr>
        <w:spacing w:after="0" w:line="8" w:lineRule="exact"/>
        <w:rPr>
          <w:sz w:val="20"/>
          <w:szCs w:val="20"/>
          <w:color w:val="auto"/>
        </w:rPr>
      </w:pPr>
    </w:p>
    <w:p>
      <w:pPr>
        <w:ind w:left="1300"/>
        <w:spacing w:after="0" w:line="184" w:lineRule="exact"/>
        <w:rPr>
          <w:sz w:val="20"/>
          <w:szCs w:val="20"/>
          <w:color w:val="auto"/>
        </w:rPr>
      </w:pPr>
      <w:r>
        <w:rPr>
          <w:rFonts w:ascii="Times New Roman" w:cs="Times New Roman" w:eastAsia="Times New Roman" w:hAnsi="Times New Roman"/>
          <w:sz w:val="16"/>
          <w:szCs w:val="16"/>
          <w:color w:val="auto"/>
        </w:rPr>
        <w:t xml:space="preserve">(f)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p>
      <w:pPr>
        <w:spacing w:after="0" w:line="196" w:lineRule="exact"/>
        <w:rPr>
          <w:sz w:val="20"/>
          <w:szCs w:val="20"/>
          <w:color w:val="auto"/>
        </w:rPr>
      </w:pPr>
    </w:p>
    <w:p>
      <w:pPr>
        <w:sectPr>
          <w:pgSz w:w="11900" w:h="16838" w:orient="portrait"/>
          <w:cols w:equalWidth="0" w:num="2">
            <w:col w:w="1680" w:space="60"/>
            <w:col w:w="9500"/>
          </w:cols>
          <w:pgMar w:left="320" w:top="900" w:right="339" w:bottom="1440" w:gutter="0" w:footer="0" w:header="0"/>
          <w:type w:val="continuous"/>
        </w:sectPr>
      </w:pPr>
    </w:p>
    <w:p>
      <w:pPr>
        <w:ind w:left="1300"/>
        <w:spacing w:after="0" w:line="196" w:lineRule="exact"/>
        <w:rPr>
          <w:sz w:val="20"/>
          <w:szCs w:val="20"/>
          <w:color w:val="auto"/>
        </w:rPr>
      </w:pPr>
      <w:r>
        <w:rPr>
          <w:rFonts w:ascii="Times New Roman" w:cs="Times New Roman" w:eastAsia="Times New Roman" w:hAnsi="Times New Roman"/>
          <w:sz w:val="17"/>
          <w:szCs w:val="17"/>
          <w:color w:val="auto"/>
        </w:rPr>
        <w:t xml:space="preserve">(g)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p>
      <w:pPr>
        <w:spacing w:after="0" w:line="196" w:lineRule="exact"/>
        <w:rPr>
          <w:sz w:val="20"/>
          <w:szCs w:val="20"/>
          <w:color w:val="auto"/>
        </w:rPr>
      </w:pPr>
    </w:p>
    <w:p>
      <w:pPr>
        <w:sectPr>
          <w:pgSz w:w="11900" w:h="16838" w:orient="portrait"/>
          <w:cols w:equalWidth="0" w:num="2">
            <w:col w:w="1720" w:space="40"/>
            <w:col w:w="9480"/>
          </w:cols>
          <w:pgMar w:left="320" w:top="900" w:right="339" w:bottom="1440" w:gutter="0" w:footer="0" w:header="0"/>
          <w:type w:val="continuous"/>
        </w:sectPr>
      </w:pPr>
    </w:p>
    <w:p>
      <w:pPr>
        <w:ind w:left="1300"/>
        <w:spacing w:after="0" w:line="196" w:lineRule="exact"/>
        <w:rPr>
          <w:sz w:val="20"/>
          <w:szCs w:val="20"/>
          <w:color w:val="auto"/>
        </w:rPr>
      </w:pPr>
      <w:r>
        <w:rPr>
          <w:rFonts w:ascii="Times New Roman" w:cs="Times New Roman" w:eastAsia="Times New Roman" w:hAnsi="Times New Roman"/>
          <w:sz w:val="17"/>
          <w:szCs w:val="17"/>
          <w:color w:val="auto"/>
        </w:rPr>
        <w:t xml:space="preserve">(h)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p>
      <w:pPr>
        <w:spacing w:after="0" w:line="196" w:lineRule="exact"/>
        <w:rPr>
          <w:sz w:val="20"/>
          <w:szCs w:val="20"/>
          <w:color w:val="auto"/>
        </w:rPr>
      </w:pPr>
    </w:p>
    <w:p>
      <w:pPr>
        <w:sectPr>
          <w:pgSz w:w="11900" w:h="16838" w:orient="portrait"/>
          <w:cols w:equalWidth="0" w:num="2">
            <w:col w:w="1720" w:space="40"/>
            <w:col w:w="9480"/>
          </w:cols>
          <w:pgMar w:left="320" w:top="900" w:right="339" w:bottom="1440" w:gutter="0" w:footer="0" w:header="0"/>
          <w:type w:val="continuous"/>
        </w:sectPr>
      </w:pPr>
    </w:p>
    <w:p>
      <w:pPr>
        <w:ind w:left="1300" w:right="280"/>
        <w:spacing w:after="0" w:line="239" w:lineRule="exact"/>
        <w:rPr>
          <w:sz w:val="20"/>
          <w:szCs w:val="20"/>
          <w:color w:val="auto"/>
        </w:rPr>
      </w:pPr>
      <w:r>
        <w:rPr>
          <w:rFonts w:ascii="Times New Roman" w:cs="Times New Roman" w:eastAsia="Times New Roman" w:hAnsi="Times New Roman"/>
          <w:sz w:val="18"/>
          <w:szCs w:val="18"/>
          <w:color w:val="auto"/>
        </w:rPr>
        <w:t xml:space="preserve">(i)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sectPr>
          <w:pgSz w:w="11900" w:h="16838" w:orient="portrait"/>
          <w:cols w:equalWidth="0" w:num="1">
            <w:col w:w="11240"/>
          </w:cols>
          <w:pgMar w:left="320" w:top="900" w:right="339" w:bottom="1440" w:gutter="0" w:footer="0" w:header="0"/>
          <w:type w:val="continuous"/>
        </w:sectPr>
      </w:pPr>
    </w:p>
    <w:p>
      <w:pPr>
        <w:spacing w:after="0" w:line="170" w:lineRule="exact"/>
        <w:rPr>
          <w:sz w:val="20"/>
          <w:szCs w:val="20"/>
          <w:color w:val="auto"/>
        </w:rPr>
      </w:pPr>
    </w:p>
    <w:p>
      <w:pPr>
        <w:ind w:left="1300"/>
        <w:spacing w:after="0" w:line="196" w:lineRule="exact"/>
        <w:rPr>
          <w:sz w:val="20"/>
          <w:szCs w:val="20"/>
          <w:color w:val="auto"/>
        </w:rPr>
      </w:pPr>
      <w:r>
        <w:rPr>
          <w:rFonts w:ascii="Times New Roman" w:cs="Times New Roman" w:eastAsia="Times New Roman" w:hAnsi="Times New Roman"/>
          <w:sz w:val="17"/>
          <w:szCs w:val="17"/>
          <w:color w:val="auto"/>
        </w:rPr>
        <w:t xml:space="preserve">(j)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in accordance with Rule 13d-1(b)(1)(ii)(J).</w:t>
      </w:r>
    </w:p>
    <w:p>
      <w:pPr>
        <w:spacing w:after="0" w:line="200" w:lineRule="exact"/>
        <w:rPr>
          <w:sz w:val="20"/>
          <w:szCs w:val="20"/>
          <w:color w:val="auto"/>
        </w:rPr>
      </w:pPr>
    </w:p>
    <w:p>
      <w:pPr>
        <w:sectPr>
          <w:pgSz w:w="11900" w:h="16838" w:orient="portrait"/>
          <w:cols w:equalWidth="0" w:num="2">
            <w:col w:w="1680" w:space="40"/>
            <w:col w:w="9520"/>
          </w:cols>
          <w:pgMar w:left="320" w:top="90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00" w:lineRule="exact"/>
        <w:rPr>
          <w:sz w:val="20"/>
          <w:szCs w:val="20"/>
          <w:color w:val="auto"/>
        </w:rPr>
      </w:pPr>
    </w:p>
    <w:p>
      <w:pPr>
        <w:sectPr>
          <w:pgSz w:w="11900" w:h="16838" w:orient="portrait"/>
          <w:cols w:equalWidth="0" w:num="2">
            <w:col w:w="580" w:space="720"/>
            <w:col w:w="9940"/>
          </w:cols>
          <w:pgMar w:left="320" w:top="900" w:right="339" w:bottom="1440" w:gutter="0" w:footer="0" w:header="0"/>
          <w:type w:val="continuous"/>
        </w:sectPr>
      </w:pPr>
    </w:p>
    <w:p>
      <w:pPr>
        <w:spacing w:after="0" w:line="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Items 5 through 9 and 11 of each of the cover pages to this Amendment No. 8 are incorporated herein by reference. Set forth below is the aggregate number of shares of Common Stock of the Issuer directly held by each of 667, L.P. (“667”) and Baker Brothers Life Sciences, L.P. (Life Sciences, and together with 667, the “Funds”), which may be deemed to be indirectly beneficially owned by the Reporting Persons, as well as shares of Common Stock that may be acquired upon exercise of the warrants expiring June 30, 2021 (“2021 Warrants”) that have an exercise price of $0.01 per share and 6% Senior Secured Convertible Notes due May 2, 2021 (“Convertible Notes”) that are convertible into 1,250 shares of Common Stock per $1,000 of par value, by the Funds, subject to the limitations on exercise or conversion described below.</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information set forth below is based upon 90,855,254 shares of Common Stock outstanding as of October 29, 2020, as reported in the Issuer’s Form 10-Q filed with the Securities and Exchange Commission on November 5, 2020. Such percentage figures are calculated in accordance with Rule 13d-3 under the Securities Exchange Act of 1934 (the “Exchange Act”),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Number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Shares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Stock</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 own or</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have to right to</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acquire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Percent of Class</w:t>
            </w:r>
          </w:p>
        </w:tc>
        <w:tc>
          <w:tcPr>
            <w:tcW w:w="0" w:type="dxa"/>
            <w:vAlign w:val="bottom"/>
          </w:tcPr>
          <w:p>
            <w:pPr>
              <w:spacing w:after="0"/>
              <w:rPr>
                <w:sz w:val="1"/>
                <w:szCs w:val="1"/>
                <w:color w:val="auto"/>
              </w:rPr>
            </w:pPr>
          </w:p>
        </w:tc>
      </w:tr>
      <w:tr>
        <w:trPr>
          <w:trHeight w:val="234"/>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within 60 days</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667, L.P.</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681,630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Baker Brothers Life Sciences, L.P.</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7,383,202</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8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8,064,832</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2021 Warrants and Convertible Notes, respectively, are only exercisable or convertible to the extent that the holders thereof, their affiliates and any persons who are members of a Section 13(d) group with the holders or its affiliates would beneficially own in the aggregate, for purposes of Section 13(d) of the Exchange Act, no more than 9.99% of the outstanding shares of Common Stock of the Issuer after exercise or conversion (“Beneficial Ownership Limitation”). As a result of this restriction, the number of shares that may be issued upon exercise of the 2021 Warrants or conversion of the Convertible Notes by the above holders may change depending upon changes in the outstanding Common Stock. For the 2021 Warrants, by written notice to the Issuer, the Funds may from time to time increase or decrease the Beneficial Ownership Limitation applicable to that Fund to any other percentage not in excess of 19.99%. Any such increase or decrease will not be effective until the 61st day after such notice is delivered to the Issuer For the Convertible Notes, the Funds may from time to time increase or decrease the Beneficial Ownership Limitation applicable to that Fund to any other percentage by written notice to the Issuer; provided that any such increase or decrease will not be effective until the 61st day after such notice is delivered to the Issuer.</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Adviser GP, Felix J. Baker and Julian C. Baker as managing members of the Adviser GP, and the Adviser may be deemed to be beneficial owners of securities of the Issuer directly held by the Funds.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Adviser GP is the sole general partner of the Adviser. Pursuant to the management agreements, as amended, among the Adviser, Life Sciences and 667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 N/A</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ind w:left="1300" w:right="6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information in Item 4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2021</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BAKER BROS. ADVISORS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Baker Bros. Advisors (GP) LLC, its general partner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L. Lessing</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L. Lessing</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BAKER BROS. ADVISORS (GP)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L. Lessing</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Scott L. Lessing</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Julian C. Baker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2021-02-16T16:54:29Z</dcterms:created>
  <dcterms:modified xsi:type="dcterms:W3CDTF">2021-02-16T16:54:29Z</dcterms:modified>
</cp:coreProperties>
</file>