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73025</wp:posOffset>
            </wp:positionV>
            <wp:extent cx="5349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73025</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4"/>
          <w:szCs w:val="24"/>
          <w:color w:val="auto"/>
        </w:rPr>
      </w:pPr>
    </w:p>
    <w:p>
      <w:pPr>
        <w:ind w:left="300"/>
        <w:spacing w:after="0" w:line="207" w:lineRule="exact"/>
        <w:tabs>
          <w:tab w:leader="none" w:pos="30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7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760" w:hanging="45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sz w:val="24"/>
          <w:szCs w:val="24"/>
          <w:color w:val="auto"/>
        </w:rPr>
      </w:pPr>
    </w:p>
    <w:p>
      <w:pPr>
        <w:ind w:left="760" w:hanging="455"/>
        <w:spacing w:after="0"/>
        <w:tabs>
          <w:tab w:leader="none" w:pos="7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760" w:hanging="455"/>
        <w:spacing w:after="0"/>
        <w:tabs>
          <w:tab w:leader="none" w:pos="7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HERON THERAPEUTICS,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(Name of Registrant as Specified in Its Charter)</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760" w:hanging="455"/>
        <w:spacing w:after="0"/>
        <w:tabs>
          <w:tab w:leader="none" w:pos="7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79" w:lineRule="exact"/>
        <w:rPr>
          <w:sz w:val="24"/>
          <w:szCs w:val="24"/>
          <w:color w:val="auto"/>
        </w:rPr>
      </w:pPr>
    </w:p>
    <w:p>
      <w:pPr>
        <w:ind w:left="760" w:hanging="455"/>
        <w:spacing w:after="0"/>
        <w:tabs>
          <w:tab w:leader="none" w:pos="7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9" w:lineRule="exact"/>
        <w:rPr>
          <w:rFonts w:ascii="MS PGothic" w:cs="MS PGothic" w:eastAsia="MS PGothic" w:hAnsi="MS PGothic"/>
          <w:sz w:val="18"/>
          <w:szCs w:val="18"/>
          <w:color w:val="auto"/>
        </w:rPr>
      </w:pPr>
    </w:p>
    <w:p>
      <w:pPr>
        <w:ind w:left="760" w:hanging="455"/>
        <w:spacing w:after="0"/>
        <w:tabs>
          <w:tab w:leader="none" w:pos="7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wp:posOffset>
            </wp:positionH>
            <wp:positionV relativeFrom="paragraph">
              <wp:posOffset>517525</wp:posOffset>
            </wp:positionV>
            <wp:extent cx="53746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HERON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2023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8, 2023</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Stockholders of Heron Therapeutics, Inc.:</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2023 Annual Meeting of Stockholders of Heron Therapeutics, Inc. (“</w:t>
      </w:r>
      <w:r>
        <w:rPr>
          <w:rFonts w:ascii="Times New Roman" w:cs="Times New Roman" w:eastAsia="Times New Roman" w:hAnsi="Times New Roman"/>
          <w:sz w:val="18"/>
          <w:szCs w:val="18"/>
          <w:b w:val="1"/>
          <w:bCs w:val="1"/>
          <w:i w:val="1"/>
          <w:iCs w:val="1"/>
          <w:color w:val="auto"/>
        </w:rPr>
        <w:t>Heron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and</w:t>
      </w:r>
    </w:p>
    <w:p>
      <w:pPr>
        <w:spacing w:after="0" w:line="3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xml:space="preserve">”), a Delaware corporation, will be held on June 8, 2023 at 9:00 a.m. Pacific Time exclusively via the Internet at </w:t>
      </w:r>
      <w:r>
        <w:rPr>
          <w:rFonts w:ascii="Times New Roman" w:cs="Times New Roman" w:eastAsia="Times New Roman" w:hAnsi="Times New Roman"/>
          <w:sz w:val="18"/>
          <w:szCs w:val="18"/>
          <w:i w:val="1"/>
          <w:iCs w:val="1"/>
          <w:color w:val="auto"/>
        </w:rPr>
        <w:t>www.virtualshareholdermeeting.com/HRTX2023</w:t>
      </w:r>
      <w:r>
        <w:rPr>
          <w:rFonts w:ascii="Times New Roman" w:cs="Times New Roman" w:eastAsia="Times New Roman" w:hAnsi="Times New Roman"/>
          <w:sz w:val="18"/>
          <w:szCs w:val="18"/>
          <w:color w:val="auto"/>
        </w:rPr>
        <w:t>, or at any adjournments or postponements thereof (the “</w:t>
      </w:r>
      <w:r>
        <w:rPr>
          <w:rFonts w:ascii="Times New Roman" w:cs="Times New Roman" w:eastAsia="Times New Roman" w:hAnsi="Times New Roman"/>
          <w:sz w:val="18"/>
          <w:szCs w:val="18"/>
          <w:b w:val="1"/>
          <w:bCs w:val="1"/>
          <w:i w:val="1"/>
          <w:iCs w:val="1"/>
          <w:color w:val="auto"/>
        </w:rPr>
        <w:t>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for the following purposes, as more fully described in the accompanying Proxy Statement:</w:t>
      </w:r>
    </w:p>
    <w:p>
      <w:pPr>
        <w:spacing w:after="0" w:line="78" w:lineRule="exact"/>
        <w:rPr>
          <w:sz w:val="20"/>
          <w:szCs w:val="20"/>
          <w:color w:val="auto"/>
        </w:rPr>
      </w:pPr>
    </w:p>
    <w:p>
      <w:pPr>
        <w:ind w:left="680" w:right="439" w:hanging="388"/>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 nominees named in the accompanying Proxy Statement to serve until the 2024 Annual Meeting of Stockholders and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680" w:right="479" w:hanging="388"/>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Withum Smith+Brown, PC as our independent registered public accounting firm for the year ending December 31, 2023;</w:t>
      </w:r>
    </w:p>
    <w:p>
      <w:pPr>
        <w:spacing w:after="0" w:line="53" w:lineRule="exact"/>
        <w:rPr>
          <w:rFonts w:ascii="Times New Roman" w:cs="Times New Roman" w:eastAsia="Times New Roman" w:hAnsi="Times New Roman"/>
          <w:sz w:val="18"/>
          <w:szCs w:val="18"/>
          <w:color w:val="auto"/>
        </w:rPr>
      </w:pPr>
    </w:p>
    <w:p>
      <w:pPr>
        <w:ind w:left="680" w:right="499" w:hanging="388"/>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compensation paid to our Named Executive Officers during the year ended December 31, 2022;</w:t>
      </w:r>
    </w:p>
    <w:p>
      <w:pPr>
        <w:spacing w:after="0" w:line="53" w:lineRule="exact"/>
        <w:rPr>
          <w:rFonts w:ascii="Times New Roman" w:cs="Times New Roman" w:eastAsia="Times New Roman" w:hAnsi="Times New Roman"/>
          <w:sz w:val="18"/>
          <w:szCs w:val="18"/>
          <w:color w:val="auto"/>
        </w:rPr>
      </w:pPr>
    </w:p>
    <w:p>
      <w:pPr>
        <w:ind w:left="680" w:right="359" w:hanging="388"/>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Company’s Certificate of Incorporation to increase the aggregate number of authorized shares of common stock by 75,000,000 from 150,000,000 to 225,000,000;</w:t>
      </w:r>
    </w:p>
    <w:p>
      <w:pPr>
        <w:spacing w:after="0" w:line="49" w:lineRule="exact"/>
        <w:rPr>
          <w:rFonts w:ascii="Times New Roman" w:cs="Times New Roman" w:eastAsia="Times New Roman" w:hAnsi="Times New Roman"/>
          <w:sz w:val="18"/>
          <w:szCs w:val="18"/>
          <w:color w:val="auto"/>
        </w:rPr>
      </w:pPr>
    </w:p>
    <w:p>
      <w:pPr>
        <w:ind w:left="680" w:right="359" w:hanging="388"/>
        <w:spacing w:after="0" w:line="28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Company’s 2007 Amended and Restated Equity Incentive Plan (the “</w:t>
      </w:r>
      <w:r>
        <w:rPr>
          <w:rFonts w:ascii="Times New Roman" w:cs="Times New Roman" w:eastAsia="Times New Roman" w:hAnsi="Times New Roman"/>
          <w:sz w:val="18"/>
          <w:szCs w:val="18"/>
          <w:b w:val="1"/>
          <w:bCs w:val="1"/>
          <w:i w:val="1"/>
          <w:iCs w:val="1"/>
          <w:color w:val="auto"/>
        </w:rPr>
        <w:t>2007 Plan</w:t>
      </w:r>
      <w:r>
        <w:rPr>
          <w:rFonts w:ascii="Times New Roman" w:cs="Times New Roman" w:eastAsia="Times New Roman" w:hAnsi="Times New Roman"/>
          <w:sz w:val="18"/>
          <w:szCs w:val="18"/>
          <w:color w:val="auto"/>
        </w:rPr>
        <w:t>”) to increase the number of shares of common stock authorized for issuance thereunder from 30,700,000 to 39,190,000;</w:t>
      </w:r>
    </w:p>
    <w:p>
      <w:pPr>
        <w:spacing w:after="0" w:line="46" w:lineRule="exact"/>
        <w:rPr>
          <w:rFonts w:ascii="Times New Roman" w:cs="Times New Roman" w:eastAsia="Times New Roman" w:hAnsi="Times New Roman"/>
          <w:sz w:val="18"/>
          <w:szCs w:val="18"/>
          <w:color w:val="auto"/>
        </w:rPr>
      </w:pPr>
    </w:p>
    <w:p>
      <w:pPr>
        <w:jc w:val="both"/>
        <w:ind w:left="680" w:right="759" w:hanging="388"/>
        <w:spacing w:after="0" w:line="317" w:lineRule="auto"/>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amend the Company’s 1997 Employee Stock Purchase Plan, as amended (the “</w:t>
      </w:r>
      <w:r>
        <w:rPr>
          <w:rFonts w:ascii="Times New Roman" w:cs="Times New Roman" w:eastAsia="Times New Roman" w:hAnsi="Times New Roman"/>
          <w:sz w:val="17"/>
          <w:szCs w:val="17"/>
          <w:b w:val="1"/>
          <w:bCs w:val="1"/>
          <w:i w:val="1"/>
          <w:iCs w:val="1"/>
          <w:color w:val="auto"/>
        </w:rPr>
        <w:t>ESPP</w:t>
      </w:r>
      <w:r>
        <w:rPr>
          <w:rFonts w:ascii="Times New Roman" w:cs="Times New Roman" w:eastAsia="Times New Roman" w:hAnsi="Times New Roman"/>
          <w:sz w:val="17"/>
          <w:szCs w:val="17"/>
          <w:color w:val="auto"/>
        </w:rPr>
        <w:t>”) to increase the number of shares of common stock authorized for issuance thereunder from 1,825,000 to 2,225,000; and</w:t>
      </w:r>
    </w:p>
    <w:p>
      <w:pPr>
        <w:spacing w:after="0" w:line="27" w:lineRule="exact"/>
        <w:rPr>
          <w:rFonts w:ascii="Times New Roman" w:cs="Times New Roman" w:eastAsia="Times New Roman" w:hAnsi="Times New Roman"/>
          <w:sz w:val="17"/>
          <w:szCs w:val="17"/>
          <w:color w:val="auto"/>
        </w:rPr>
      </w:pPr>
    </w:p>
    <w:p>
      <w:pPr>
        <w:ind w:left="680" w:right="759" w:hanging="388"/>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16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Stockholders will be able to attend the Annual Meeting and vote electronically and submit questions during the meeting, all by visiting </w:t>
      </w:r>
      <w:r>
        <w:rPr>
          <w:rFonts w:ascii="Times New Roman" w:cs="Times New Roman" w:eastAsia="Times New Roman" w:hAnsi="Times New Roman"/>
          <w:sz w:val="18"/>
          <w:szCs w:val="18"/>
          <w:i w:val="1"/>
          <w:iCs w:val="1"/>
          <w:color w:val="auto"/>
        </w:rPr>
        <w:t>www.virtualshareholdermeeting.com/HRTX2023</w:t>
      </w:r>
      <w:r>
        <w:rPr>
          <w:rFonts w:ascii="Times New Roman" w:cs="Times New Roman" w:eastAsia="Times New Roman" w:hAnsi="Times New Roman"/>
          <w:sz w:val="18"/>
          <w:szCs w:val="18"/>
          <w:color w:val="auto"/>
        </w:rPr>
        <w:t>. To participate in the Annual Meeting, stockholders of record will need the 16-digit control number included on their proxy card. If your shares are held in street name and your voting instruction form indicates that you may vote those shares through the http://www.proxyvote.com website, then you may access, participate in, and vote electronically during the Annual Meeting with the 16-digit access code indicated on that voting instruction form. Otherwise, stockholders who hold their shares in street name should contact their broker, bank, or other agent (preferably at least five days before the Annual Meeting) and obtain a “legal proxy” in order to be able to attend, participate in, or vote at the Annual Meeting. The Annual Meeting will begin promptly at 9:00 a.m. Pacific Time. We encourage you to access the Annual Meeting webcast prior to the start time. Online check-in will begin at 8:45 a.m. Pacific Time, and you should allow ample time for the check-in procedures.</w:t>
      </w:r>
    </w:p>
    <w:p>
      <w:pPr>
        <w:spacing w:after="0" w:line="188"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18, 2023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will be entitled to notice of, and to vote at, the Annual Meeting.</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David Szekeres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2674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Szekeres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 2023</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ind w:left="300" w:right="339"/>
        <w:spacing w:after="0" w:line="263"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2023 ANNUAL MEETING OF STOCKHOLDERS TO BE HELD ON JUNE 8, 2023:</w:t>
      </w:r>
    </w:p>
    <w:p>
      <w:pPr>
        <w:spacing w:after="0" w:line="1" w:lineRule="exact"/>
        <w:rPr>
          <w:sz w:val="20"/>
          <w:szCs w:val="20"/>
          <w:color w:val="auto"/>
        </w:rPr>
      </w:pPr>
    </w:p>
    <w:p>
      <w:pPr>
        <w:jc w:val="center"/>
        <w:ind w:left="300" w:right="359"/>
        <w:spacing w:after="0" w:line="260" w:lineRule="auto"/>
        <w:rPr>
          <w:sz w:val="20"/>
          <w:szCs w:val="20"/>
          <w:color w:val="auto"/>
        </w:rPr>
      </w:pPr>
      <w:r>
        <w:rPr>
          <w:rFonts w:ascii="Times New Roman" w:cs="Times New Roman" w:eastAsia="Times New Roman" w:hAnsi="Times New Roman"/>
          <w:sz w:val="18"/>
          <w:szCs w:val="18"/>
          <w:b w:val="1"/>
          <w:bCs w:val="1"/>
          <w:color w:val="auto"/>
        </w:rPr>
        <w:t>The 2023 Proxy Statement and the Annual Report on Form 10-K for the year ended December 31, 2022 are available at: http://www.proxyvote.com.</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5"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You are cordially invited to attend the Annual Meeting. Instructions on how to participate in the Annual Meeting and demonstrate proof of stock ownership are included in the accompanying Proxy Statement and posted at </w:t>
      </w:r>
      <w:r>
        <w:rPr>
          <w:rFonts w:ascii="Times New Roman" w:cs="Times New Roman" w:eastAsia="Times New Roman" w:hAnsi="Times New Roman"/>
          <w:sz w:val="17"/>
          <w:szCs w:val="17"/>
          <w:b w:val="1"/>
          <w:bCs w:val="1"/>
          <w:i w:val="1"/>
          <w:iCs w:val="1"/>
          <w:color w:val="auto"/>
        </w:rPr>
        <w:t>http://www.virtualshareholdermeeting.com/HRTX2023</w:t>
      </w:r>
      <w:r>
        <w:rPr>
          <w:rFonts w:ascii="Times New Roman" w:cs="Times New Roman" w:eastAsia="Times New Roman" w:hAnsi="Times New Roman"/>
          <w:sz w:val="17"/>
          <w:szCs w:val="17"/>
          <w:b w:val="1"/>
          <w:bCs w:val="1"/>
          <w:color w:val="auto"/>
        </w:rPr>
        <w:t xml:space="preserve">. The webcast of the Annual Meeting will be archived for one year after the date of the Annual Meeting at </w:t>
      </w:r>
      <w:r>
        <w:rPr>
          <w:rFonts w:ascii="Times New Roman" w:cs="Times New Roman" w:eastAsia="Times New Roman" w:hAnsi="Times New Roman"/>
          <w:sz w:val="17"/>
          <w:szCs w:val="17"/>
          <w:b w:val="1"/>
          <w:bCs w:val="1"/>
          <w:i w:val="1"/>
          <w:iCs w:val="1"/>
          <w:color w:val="auto"/>
        </w:rPr>
        <w:t>www.virtualshareholdermeeting.com/HRTX2023.</w:t>
      </w:r>
      <w:r>
        <w:rPr>
          <w:rFonts w:ascii="Times New Roman" w:cs="Times New Roman" w:eastAsia="Times New Roman" w:hAnsi="Times New Roman"/>
          <w:sz w:val="17"/>
          <w:szCs w:val="17"/>
          <w:b w:val="1"/>
          <w:bCs w:val="1"/>
          <w:color w:val="auto"/>
        </w:rPr>
        <w:t xml:space="preserve"> You will not be able to attend the Annual Meeting in person. Whether or not you expect to virtually attend the Annual Meeting, you are urged to cast your vote as soon as possible. You may vote your shares via the Internet or via a toll-free telephone number by following the instructions on the proxy card or the voting instruction card you received, as applicable. In addition, you can also vote by mail by following the instructions on the proxy card or the voting instruction card. Submitting a proxy or voting instruction card will not prevent you from attending the Annual Meeting and voting electronically, if you so desire. Please note, however, that if your shares are held of record by a broker, bank or other agent and you wish to vote at the Annual Meeting, you must obtain from the record holder a proxy issued in your name.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HERON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4242 Campus Point Court, Suite 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251-4400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ANNUAL MEETING OF STOCKHOLDERS</w:t>
      </w:r>
    </w:p>
    <w:p>
      <w:pPr>
        <w:spacing w:after="0" w:line="20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have these proxy materials been made available to me?</w:t>
      </w:r>
    </w:p>
    <w:p>
      <w:pPr>
        <w:spacing w:after="0" w:line="117"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color w:val="auto"/>
        </w:rPr>
        <w:t>The enclosed proxy is being solicited on behalf of our Board of Directors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for use at the Annual Meeting. The proxy materials, including the 2023 Proxy Statement and the Annual Report on Form 10-K for the year ended December 31, 2022, will be made available online at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 xml:space="preserve"> and mailing to stockholders will commence on or about May 1, 2023. We encourage stockholders to vote well before the Annual Meeting, even if they plan to attend the Annual Meeting (as specified below and in the proxy card you received) or by using the toll-free telephone number provided below or in the proxy card, as applicable. In addition, if you received copies of the proxy materials by mail, you can vote by mail by following the instructions on the proxy card. Stockholders who hold our shares in “street name” should refer to the voting instructions form provided by their broker, bank or other agent for details on how to provide voting instructions to each person. For additional details, see “How can I vote at the Annual Meeting?” below.</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jc w:val="both"/>
        <w:ind w:left="300" w:right="439" w:firstLine="441"/>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At the close of business on the Record Date, there were 119,279,998 shares of common stock outstanding and entitled to vote.</w:t>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39" w:firstLine="441"/>
        <w:spacing w:after="0" w:line="261" w:lineRule="auto"/>
        <w:rPr>
          <w:sz w:val="20"/>
          <w:szCs w:val="20"/>
          <w:color w:val="auto"/>
        </w:rPr>
      </w:pPr>
      <w:r>
        <w:rPr>
          <w:rFonts w:ascii="Times New Roman" w:cs="Times New Roman" w:eastAsia="Times New Roman" w:hAnsi="Times New Roman"/>
          <w:sz w:val="18"/>
          <w:szCs w:val="18"/>
          <w:color w:val="auto"/>
        </w:rPr>
        <w:t>If at the close of business on the Record Date, your shares were registered directly in your name, then you are a stockholder of record. As a stockholder of record, you may vote electronically during the Annual Meeting or via one of the methods described in the proxy card you received. Whether or not you plan to attend the Annual Meeting, we urge you to vote well before the Annual Meeting to ensure your vote is counted.</w:t>
      </w:r>
    </w:p>
    <w:p>
      <w:pPr>
        <w:spacing w:after="0" w:line="2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Agent</w:t>
      </w:r>
    </w:p>
    <w:p>
      <w:pPr>
        <w:spacing w:after="0" w:line="119" w:lineRule="exact"/>
        <w:rPr>
          <w:sz w:val="20"/>
          <w:szCs w:val="20"/>
          <w:color w:val="auto"/>
        </w:rPr>
      </w:pPr>
    </w:p>
    <w:p>
      <w:pPr>
        <w:ind w:left="300" w:right="339" w:firstLine="441"/>
        <w:spacing w:after="0" w:line="256" w:lineRule="auto"/>
        <w:rPr>
          <w:sz w:val="20"/>
          <w:szCs w:val="20"/>
          <w:color w:val="auto"/>
        </w:rPr>
      </w:pPr>
      <w:r>
        <w:rPr>
          <w:rFonts w:ascii="Times New Roman" w:cs="Times New Roman" w:eastAsia="Times New Roman" w:hAnsi="Times New Roman"/>
          <w:sz w:val="18"/>
          <w:szCs w:val="18"/>
          <w:color w:val="auto"/>
        </w:rPr>
        <w:t>If at the close of business on the Record Date, your shares were held, not in your name, but in an account at a brokerage firm, bank or other agent, then you are the beneficial owner of shares held in “street name,” and the proxy materials are being forwarded to you by your broker, bank or other agent. The broker, bank or other agent holding your account is considered to be the stockholder of record for purposes of voting at the Annual Meeting. As a beneficial owner, you have the right to direct your broker, bank or other agent on how to vote the shares in your account.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8"/>
          <w:szCs w:val="18"/>
          <w:b w:val="1"/>
          <w:bCs w:val="1"/>
          <w:color w:val="auto"/>
        </w:rPr>
        <w:t>How can I attend the Annual Meeting?</w:t>
      </w:r>
    </w:p>
    <w:p>
      <w:pPr>
        <w:spacing w:after="0" w:line="121" w:lineRule="exact"/>
        <w:rPr>
          <w:sz w:val="20"/>
          <w:szCs w:val="20"/>
          <w:color w:val="auto"/>
        </w:rPr>
      </w:pPr>
    </w:p>
    <w:p>
      <w:pPr>
        <w:ind w:left="300" w:right="559" w:firstLine="441"/>
        <w:spacing w:after="0" w:line="282" w:lineRule="auto"/>
        <w:rPr>
          <w:sz w:val="20"/>
          <w:szCs w:val="20"/>
          <w:color w:val="auto"/>
        </w:rPr>
      </w:pPr>
      <w:r>
        <w:rPr>
          <w:rFonts w:ascii="Times New Roman" w:cs="Times New Roman" w:eastAsia="Times New Roman" w:hAnsi="Times New Roman"/>
          <w:sz w:val="18"/>
          <w:szCs w:val="18"/>
          <w:color w:val="auto"/>
        </w:rPr>
        <w:t>You are entitled to attend the Annual Meeting only if you were a stockholder at the close of business on the Record Date or if you hold a valid proxy to vote at the Annual Meeting.</w:t>
      </w:r>
    </w:p>
    <w:p>
      <w:pPr>
        <w:spacing w:after="0" w:line="158"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color w:val="auto"/>
        </w:rPr>
        <w:t xml:space="preserve">We will be hosting the Annual Meeting via the Internet. </w:t>
      </w:r>
      <w:r>
        <w:rPr>
          <w:rFonts w:ascii="Times New Roman" w:cs="Times New Roman" w:eastAsia="Times New Roman" w:hAnsi="Times New Roman"/>
          <w:sz w:val="18"/>
          <w:szCs w:val="18"/>
          <w:b w:val="1"/>
          <w:bCs w:val="1"/>
          <w:color w:val="auto"/>
        </w:rPr>
        <w:t>You will not be able to attend the Annual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 person. </w:t>
      </w:r>
      <w:r>
        <w:rPr>
          <w:rFonts w:ascii="Times New Roman" w:cs="Times New Roman" w:eastAsia="Times New Roman" w:hAnsi="Times New Roman"/>
          <w:sz w:val="18"/>
          <w:szCs w:val="18"/>
          <w:color w:val="auto"/>
        </w:rPr>
        <w:t>Any stockholder can listen to and participate in the Annual Meeting via the Internet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www.virtualshareholdermeeting.com/HRTX2023</w:t>
      </w:r>
      <w:r>
        <w:rPr>
          <w:rFonts w:ascii="Times New Roman" w:cs="Times New Roman" w:eastAsia="Times New Roman" w:hAnsi="Times New Roman"/>
          <w:sz w:val="18"/>
          <w:szCs w:val="18"/>
          <w:color w:val="auto"/>
        </w:rPr>
        <w:t>. Our Board annually considers the appropriate format of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meeting. Stockholders may submit questions and comments before and during the Annual Meeting. After the Annual Meeting, we will spend up to fifteen minutes answering any appropriately submitted stockholder questions that are pertinent to the Company and that comply with our rules of conduct. Our rules of conduct will be made available at </w:t>
      </w:r>
      <w:r>
        <w:rPr>
          <w:rFonts w:ascii="Times New Roman" w:cs="Times New Roman" w:eastAsia="Times New Roman" w:hAnsi="Times New Roman"/>
          <w:sz w:val="18"/>
          <w:szCs w:val="18"/>
          <w:i w:val="1"/>
          <w:iCs w:val="1"/>
          <w:color w:val="auto"/>
        </w:rPr>
        <w:t>http://www.virtualshareholdermeeting.com/HRTX2023</w:t>
      </w:r>
      <w:r>
        <w:rPr>
          <w:rFonts w:ascii="Times New Roman" w:cs="Times New Roman" w:eastAsia="Times New Roman" w:hAnsi="Times New Roman"/>
          <w:sz w:val="18"/>
          <w:szCs w:val="18"/>
          <w:color w:val="auto"/>
        </w:rPr>
        <w:t xml:space="preserve"> and on our investor relations website at </w:t>
      </w:r>
      <w:r>
        <w:rPr>
          <w:rFonts w:ascii="Times New Roman" w:cs="Times New Roman" w:eastAsia="Times New Roman" w:hAnsi="Times New Roman"/>
          <w:sz w:val="18"/>
          <w:szCs w:val="18"/>
          <w:i w:val="1"/>
          <w:iCs w:val="1"/>
          <w:color w:val="auto"/>
        </w:rPr>
        <w:t xml:space="preserve">https://herontherapeutics.gcs-web.com. </w:t>
      </w:r>
      <w:r>
        <w:rPr>
          <w:rFonts w:ascii="Times New Roman" w:cs="Times New Roman" w:eastAsia="Times New Roman" w:hAnsi="Times New Roman"/>
          <w:sz w:val="18"/>
          <w:szCs w:val="18"/>
          <w:color w:val="auto"/>
        </w:rPr>
        <w:t>To the extent time does not allow us to answer all of the appropriately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questions, we will answer them in writing on our investor relations website soon after the Annual Meeting. If we receive substantially similar questions, we will group such questions together and provide a single response to avoid repetition.</w:t>
      </w:r>
    </w:p>
    <w:p>
      <w:pPr>
        <w:spacing w:after="0" w:line="186" w:lineRule="exact"/>
        <w:rPr>
          <w:sz w:val="20"/>
          <w:szCs w:val="20"/>
          <w:color w:val="auto"/>
        </w:rPr>
      </w:pPr>
    </w:p>
    <w:p>
      <w:pPr>
        <w:jc w:val="both"/>
        <w:ind w:left="300" w:right="459" w:firstLine="441"/>
        <w:spacing w:after="0" w:line="289" w:lineRule="auto"/>
        <w:rPr>
          <w:sz w:val="20"/>
          <w:szCs w:val="20"/>
          <w:color w:val="auto"/>
        </w:rPr>
      </w:pPr>
      <w:r>
        <w:rPr>
          <w:rFonts w:ascii="Times New Roman" w:cs="Times New Roman" w:eastAsia="Times New Roman" w:hAnsi="Times New Roman"/>
          <w:sz w:val="17"/>
          <w:szCs w:val="17"/>
          <w:color w:val="auto"/>
        </w:rPr>
        <w:t>The Annual Meeting will begin promptly at 9:00 a.m. Pacific Time. We encourage you to access the Annual Meeting webcast prior to the start time. Online check-in will begin, and stockholders may begin submitting written questions, at approximately 8:45 a.m. Pacific Time, and you should allow ample time for the check-in procedures.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 I need in order to be able to participate in the Annual Meeting?</w:t>
      </w:r>
    </w:p>
    <w:p>
      <w:pPr>
        <w:spacing w:after="0" w:line="121" w:lineRule="exact"/>
        <w:rPr>
          <w:sz w:val="20"/>
          <w:szCs w:val="20"/>
          <w:color w:val="auto"/>
        </w:rPr>
      </w:pPr>
    </w:p>
    <w:p>
      <w:pPr>
        <w:ind w:left="300" w:right="339" w:firstLine="441"/>
        <w:spacing w:after="0" w:line="253" w:lineRule="auto"/>
        <w:rPr>
          <w:sz w:val="20"/>
          <w:szCs w:val="20"/>
          <w:color w:val="auto"/>
        </w:rPr>
      </w:pPr>
      <w:r>
        <w:rPr>
          <w:rFonts w:ascii="Times New Roman" w:cs="Times New Roman" w:eastAsia="Times New Roman" w:hAnsi="Times New Roman"/>
          <w:sz w:val="18"/>
          <w:szCs w:val="18"/>
          <w:color w:val="auto"/>
        </w:rPr>
        <w:t xml:space="preserve">In order to be able to vote your shares, view the list of our stockholders of record, or submit questions during the Annual Meeting, you will need the 16-digit control number included on your proxy card or included in the email to you if you received the proxy materials by email. If your shares are held in street name and your voting instruction form indicates that you may vote those shares through the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 xml:space="preserve"> website, then you may access, participate in, and vote electrically during the Annual Meeting with the 16-digit access code indicated on that voting instruction form. Otherwise, stockholders who hold their shares in street name should contact their broker, bank, or other agent (preferably at least five days before the Annual Meeting) and obtain a “legal proxy” in order to be able to attend, participate in, or vote electronically during the Annual Meeting. You will not be able to attend the Annual Meeting in person. Instructions on how to connect to the Annual Meeting and participate via the Internet, including how to demonstrate proof of stock ownership, are posted at </w:t>
      </w:r>
      <w:r>
        <w:rPr>
          <w:rFonts w:ascii="Times New Roman" w:cs="Times New Roman" w:eastAsia="Times New Roman" w:hAnsi="Times New Roman"/>
          <w:sz w:val="18"/>
          <w:szCs w:val="18"/>
          <w:i w:val="1"/>
          <w:iCs w:val="1"/>
          <w:color w:val="auto"/>
        </w:rPr>
        <w:t>http://www.virtualshareholdermeeting.com/HRTX2023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If you do not have your 16-digit control number, you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be able to access and listen to the Annual Meeting but you will not be able to vote your shares or submit questions during the Annual Meeting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300" w:right="579" w:firstLine="441"/>
        <w:spacing w:after="0" w:line="261"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Annual Meeting webcast or submitting questions. If you encounter any difficulties accessing the Annual Meeting webcast during the check-in or meeting time, please call the technical support number that will be posted on the Virtual Shareholder Meeting login page.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There are six Company proposals scheduled for a vote at the Annual Meeting:</w:t>
      </w:r>
    </w:p>
    <w:p>
      <w:pPr>
        <w:spacing w:after="0" w:line="113" w:lineRule="exact"/>
        <w:rPr>
          <w:sz w:val="20"/>
          <w:szCs w:val="20"/>
          <w:color w:val="auto"/>
        </w:rPr>
      </w:pPr>
    </w:p>
    <w:p>
      <w:pPr>
        <w:ind w:left="1540" w:right="299" w:hanging="276"/>
        <w:spacing w:after="0" w:line="268"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To elect seven director nominees named in the accompanying Proxy Statement,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until the 2024 Annual Meeting of Stockholders and until their successors are duly elected and qualified;</w:t>
      </w:r>
    </w:p>
    <w:p>
      <w:pPr>
        <w:spacing w:after="0" w:line="62" w:lineRule="exact"/>
        <w:rPr>
          <w:rFonts w:ascii="Times New Roman" w:cs="Times New Roman" w:eastAsia="Times New Roman" w:hAnsi="Times New Roman"/>
          <w:sz w:val="18"/>
          <w:szCs w:val="18"/>
          <w:color w:val="auto"/>
        </w:rPr>
      </w:pPr>
    </w:p>
    <w:p>
      <w:pPr>
        <w:ind w:left="1540" w:right="379" w:hanging="276"/>
        <w:spacing w:after="0" w:line="28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To ratify the appointment of Withum Smith+Brown, PC as our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accounting firm for the year ending December 31, 2023;</w:t>
      </w:r>
    </w:p>
    <w:p>
      <w:pPr>
        <w:spacing w:after="0" w:line="46" w:lineRule="exact"/>
        <w:rPr>
          <w:rFonts w:ascii="Times New Roman" w:cs="Times New Roman" w:eastAsia="Times New Roman" w:hAnsi="Times New Roman"/>
          <w:sz w:val="18"/>
          <w:szCs w:val="18"/>
          <w:color w:val="auto"/>
        </w:rPr>
      </w:pPr>
    </w:p>
    <w:p>
      <w:pPr>
        <w:ind w:left="1540" w:right="319" w:hanging="276"/>
        <w:spacing w:after="0" w:line="28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To approve, on an advisory basis, compensation paid to our Named Executive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year ended December 31, 2022;</w:t>
      </w:r>
    </w:p>
    <w:p>
      <w:pPr>
        <w:spacing w:after="0" w:line="46" w:lineRule="exact"/>
        <w:rPr>
          <w:rFonts w:ascii="Times New Roman" w:cs="Times New Roman" w:eastAsia="Times New Roman" w:hAnsi="Times New Roman"/>
          <w:sz w:val="18"/>
          <w:szCs w:val="18"/>
          <w:color w:val="auto"/>
        </w:rPr>
      </w:pPr>
    </w:p>
    <w:p>
      <w:pPr>
        <w:ind w:left="1540" w:right="539" w:hanging="276"/>
        <w:spacing w:after="0" w:line="28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To amend the Company’s Certificate of Incorporation to increase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authorized shares of common stock by 75,000,000 from 150,000,000 to 225,000,000;</w:t>
      </w:r>
    </w:p>
    <w:p>
      <w:pPr>
        <w:spacing w:after="0" w:line="46" w:lineRule="exact"/>
        <w:rPr>
          <w:rFonts w:ascii="Times New Roman" w:cs="Times New Roman" w:eastAsia="Times New Roman" w:hAnsi="Times New Roman"/>
          <w:sz w:val="18"/>
          <w:szCs w:val="18"/>
          <w:color w:val="auto"/>
        </w:rPr>
      </w:pPr>
    </w:p>
    <w:p>
      <w:pPr>
        <w:ind w:left="1540" w:right="359" w:hanging="276"/>
        <w:spacing w:after="0" w:line="28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5: </w:t>
      </w:r>
      <w:r>
        <w:rPr>
          <w:rFonts w:ascii="Times New Roman" w:cs="Times New Roman" w:eastAsia="Times New Roman" w:hAnsi="Times New Roman"/>
          <w:sz w:val="18"/>
          <w:szCs w:val="18"/>
          <w:color w:val="auto"/>
        </w:rPr>
        <w:t>To amend the 2007 Plan to increase the number of shares of common stock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issuance thereunder from 30,700,000 to 39,190,000; and</w:t>
      </w:r>
    </w:p>
    <w:p>
      <w:pPr>
        <w:spacing w:after="0" w:line="46" w:lineRule="exact"/>
        <w:rPr>
          <w:rFonts w:ascii="Times New Roman" w:cs="Times New Roman" w:eastAsia="Times New Roman" w:hAnsi="Times New Roman"/>
          <w:sz w:val="18"/>
          <w:szCs w:val="18"/>
          <w:color w:val="auto"/>
        </w:rPr>
      </w:pPr>
    </w:p>
    <w:p>
      <w:pPr>
        <w:ind w:left="1540" w:right="419" w:hanging="276"/>
        <w:spacing w:after="0" w:line="28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6: </w:t>
      </w:r>
      <w:r>
        <w:rPr>
          <w:rFonts w:ascii="Times New Roman" w:cs="Times New Roman" w:eastAsia="Times New Roman" w:hAnsi="Times New Roman"/>
          <w:sz w:val="18"/>
          <w:szCs w:val="18"/>
          <w:color w:val="auto"/>
        </w:rPr>
        <w:t>To amend the ESPP to increase the number of shares of common stock authorized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thereunder from 1,825,000 to 2,225,000.</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my voting choices and what are the Board’s recommendations?</w:t>
      </w:r>
    </w:p>
    <w:p>
      <w:pPr>
        <w:spacing w:after="0" w:line="121" w:lineRule="exact"/>
        <w:rPr>
          <w:sz w:val="20"/>
          <w:szCs w:val="20"/>
          <w:color w:val="auto"/>
        </w:rPr>
      </w:pPr>
    </w:p>
    <w:p>
      <w:pPr>
        <w:ind w:left="300" w:right="639" w:firstLine="441"/>
        <w:spacing w:after="0" w:line="282" w:lineRule="auto"/>
        <w:rPr>
          <w:sz w:val="20"/>
          <w:szCs w:val="20"/>
          <w:color w:val="auto"/>
        </w:rPr>
      </w:pPr>
      <w:r>
        <w:rPr>
          <w:rFonts w:ascii="Times New Roman" w:cs="Times New Roman" w:eastAsia="Times New Roman" w:hAnsi="Times New Roman"/>
          <w:sz w:val="18"/>
          <w:szCs w:val="18"/>
          <w:color w:val="auto"/>
        </w:rPr>
        <w:t>For Proposal 1, you may vote “For” or “Against” or “Abstain” from voting for each director nominee. For Proposals 2 through 6, you may vote “For” or “Against” or “Abstain” from voting.</w:t>
      </w:r>
    </w:p>
    <w:p>
      <w:pPr>
        <w:spacing w:after="0" w:line="162" w:lineRule="exact"/>
        <w:rPr>
          <w:sz w:val="20"/>
          <w:szCs w:val="20"/>
          <w:color w:val="auto"/>
        </w:rPr>
      </w:pPr>
    </w:p>
    <w:p>
      <w:pPr>
        <w:ind w:left="300" w:right="659" w:firstLine="441"/>
        <w:spacing w:after="0" w:line="282" w:lineRule="auto"/>
        <w:rPr>
          <w:sz w:val="20"/>
          <w:szCs w:val="20"/>
          <w:color w:val="auto"/>
        </w:rPr>
      </w:pPr>
      <w:r>
        <w:rPr>
          <w:rFonts w:ascii="Times New Roman" w:cs="Times New Roman" w:eastAsia="Times New Roman" w:hAnsi="Times New Roman"/>
          <w:sz w:val="18"/>
          <w:szCs w:val="18"/>
          <w:color w:val="auto"/>
        </w:rPr>
        <w:t>The Board recommends that you vote “For” each of the director nominees named in Proposal 1 and “For” each of Proposals 2 through 6.</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21" w:lineRule="exact"/>
        <w:rPr>
          <w:sz w:val="20"/>
          <w:szCs w:val="20"/>
          <w:color w:val="auto"/>
        </w:rPr>
      </w:pPr>
    </w:p>
    <w:p>
      <w:pPr>
        <w:ind w:left="300" w:right="359" w:firstLine="441"/>
        <w:spacing w:after="0" w:line="261" w:lineRule="auto"/>
        <w:rPr>
          <w:sz w:val="20"/>
          <w:szCs w:val="20"/>
          <w:color w:val="auto"/>
        </w:rPr>
      </w:pPr>
      <w:r>
        <w:rPr>
          <w:rFonts w:ascii="Times New Roman" w:cs="Times New Roman" w:eastAsia="Times New Roman" w:hAnsi="Times New Roman"/>
          <w:sz w:val="18"/>
          <w:szCs w:val="18"/>
          <w:color w:val="auto"/>
        </w:rPr>
        <w:t>At this time, the Board knows of no other matters that will be presented for consideration at the Annual Meeting. However, if any other matter is properly brought before the Annual Meeting, it is the intention of the persons named in the proxy card as “proxies” to vote on those matters in accordance with their best judgment and in their discretion.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vote at the Annual Meeting?</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7" w:lineRule="exact"/>
        <w:rPr>
          <w:sz w:val="20"/>
          <w:szCs w:val="20"/>
          <w:color w:val="auto"/>
        </w:rPr>
      </w:pPr>
    </w:p>
    <w:p>
      <w:pPr>
        <w:ind w:left="1540" w:right="539" w:hanging="276"/>
        <w:spacing w:after="0" w:line="284"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 vote during the Annual Meeting</w:t>
      </w:r>
      <w:r>
        <w:rPr>
          <w:rFonts w:ascii="Times New Roman" w:cs="Times New Roman" w:eastAsia="Times New Roman" w:hAnsi="Times New Roman"/>
          <w:sz w:val="18"/>
          <w:szCs w:val="18"/>
          <w:color w:val="auto"/>
        </w:rPr>
        <w:t>, see the instructions on how to vote while participating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Annual Meeting via the Internet at </w:t>
      </w:r>
      <w:r>
        <w:rPr>
          <w:rFonts w:ascii="Times New Roman" w:cs="Times New Roman" w:eastAsia="Times New Roman" w:hAnsi="Times New Roman"/>
          <w:sz w:val="18"/>
          <w:szCs w:val="18"/>
          <w:i w:val="1"/>
          <w:iCs w:val="1"/>
          <w:color w:val="auto"/>
        </w:rPr>
        <w:t>http://www.virtualshareholdermeeting.com/HRTX2023</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1540" w:right="639" w:hanging="276"/>
        <w:spacing w:after="0" w:line="267"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 vote via the Internet</w:t>
      </w:r>
      <w:r>
        <w:rPr>
          <w:rFonts w:ascii="Times New Roman" w:cs="Times New Roman" w:eastAsia="Times New Roman" w:hAnsi="Times New Roman"/>
          <w:sz w:val="18"/>
          <w:szCs w:val="18"/>
          <w:color w:val="auto"/>
        </w:rPr>
        <w:t>, go to</w:t>
      </w:r>
      <w:r>
        <w:rPr>
          <w:rFonts w:ascii="Times New Roman" w:cs="Times New Roman" w:eastAsia="Times New Roman" w:hAnsi="Times New Roman"/>
          <w:sz w:val="18"/>
          <w:szCs w:val="18"/>
          <w:i w:val="1"/>
          <w:iCs w:val="1"/>
          <w:color w:val="auto"/>
        </w:rPr>
        <w:t xml:space="preserve"> www.proxyvote.com</w:t>
      </w:r>
      <w:r>
        <w:rPr>
          <w:rFonts w:ascii="Times New Roman" w:cs="Times New Roman" w:eastAsia="Times New Roman" w:hAnsi="Times New Roman"/>
          <w:sz w:val="18"/>
          <w:szCs w:val="18"/>
          <w:color w:val="auto"/>
        </w:rPr>
        <w:t>, 24 hours per day, 7 days per week. You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the 16-digit control number included on your proxy card. Proxies submitted through the Internet must be received by 11:59 p.m. Eastern Time on June 7, 2023.</w:t>
      </w:r>
    </w:p>
    <w:p>
      <w:pPr>
        <w:spacing w:after="0" w:line="65" w:lineRule="exact"/>
        <w:rPr>
          <w:rFonts w:ascii="Times New Roman" w:cs="Times New Roman" w:eastAsia="Times New Roman" w:hAnsi="Times New Roman"/>
          <w:sz w:val="18"/>
          <w:szCs w:val="18"/>
          <w:color w:val="auto"/>
        </w:rPr>
      </w:pPr>
    </w:p>
    <w:p>
      <w:pPr>
        <w:ind w:left="1540" w:right="579" w:hanging="276"/>
        <w:spacing w:after="0" w:line="267"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 vote by telephone</w:t>
      </w:r>
      <w:r>
        <w:rPr>
          <w:rFonts w:ascii="Times New Roman" w:cs="Times New Roman" w:eastAsia="Times New Roman" w:hAnsi="Times New Roman"/>
          <w:sz w:val="18"/>
          <w:szCs w:val="18"/>
          <w:color w:val="auto"/>
        </w:rPr>
        <w:t>, call toll free 1-800-690-6903, 24 hours per day, 7 days per week. You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the 16-digit control number included on your proxy card. Proxies submitted through the Internet must be received by 11:59 p.m. Eastern Time on June 7, 2023.</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6" w:name="page7"/>
    <w:bookmarkEnd w:id="6"/>
    <w:p>
      <w:pPr>
        <w:ind w:left="1540" w:right="539" w:hanging="276"/>
        <w:spacing w:after="0" w:line="256"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 vote using the proxy card</w:t>
      </w:r>
      <w:r>
        <w:rPr>
          <w:rFonts w:ascii="Times New Roman" w:cs="Times New Roman" w:eastAsia="Times New Roman" w:hAnsi="Times New Roman"/>
          <w:sz w:val="18"/>
          <w:szCs w:val="18"/>
          <w:color w:val="auto"/>
        </w:rPr>
        <w:t>, simply complete, sign and date the proxy card included with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materials and return it promptly in the envelope provided. If you return your signed and dated proxy card to us before the Annual Meeting with your voting selections, we will vote your shares as you direct. Except for votes cast for shares registered in the name of a broker, bank or other agent (as described below), if you return your signed and dated proxy card to us before the Annual Meeting without your voting selections, proxies named in the proxy card will vote your shares in accordance with the Board’s recommendations (as described below).</w:t>
      </w:r>
    </w:p>
    <w:p>
      <w:pPr>
        <w:spacing w:after="0" w:line="2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w:t>
      </w:r>
    </w:p>
    <w:p>
      <w:pPr>
        <w:spacing w:after="0" w:line="119" w:lineRule="exact"/>
        <w:rPr>
          <w:sz w:val="20"/>
          <w:szCs w:val="20"/>
          <w:color w:val="auto"/>
        </w:rPr>
      </w:pPr>
    </w:p>
    <w:p>
      <w:pPr>
        <w:ind w:left="300" w:right="339" w:firstLine="441"/>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proxy card and voting instructions with the proxy materials from that institution rather than from us. To ensure that your vote is counted, simply follow the instructions in the materials received from your broker, bank or other agent to vote electronically during the Annual Meeting, via the Internet in advance of the Annual Meeting or by telephone or, if you received a proxy card by mail, complete, sign and return the proxy card.</w:t>
      </w:r>
    </w:p>
    <w:p>
      <w:pPr>
        <w:spacing w:after="0" w:line="71" w:lineRule="exact"/>
        <w:rPr>
          <w:sz w:val="20"/>
          <w:szCs w:val="20"/>
          <w:color w:val="auto"/>
        </w:rPr>
      </w:pPr>
    </w:p>
    <w:p>
      <w:pPr>
        <w:ind w:left="300" w:right="499"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439" w:firstLine="441"/>
        <w:spacing w:after="0" w:line="282" w:lineRule="auto"/>
        <w:rPr>
          <w:sz w:val="20"/>
          <w:szCs w:val="20"/>
          <w:color w:val="auto"/>
        </w:rPr>
      </w:pPr>
      <w:r>
        <w:rPr>
          <w:rFonts w:ascii="Times New Roman" w:cs="Times New Roman" w:eastAsia="Times New Roman" w:hAnsi="Times New Roman"/>
          <w:sz w:val="18"/>
          <w:szCs w:val="18"/>
          <w:color w:val="auto"/>
        </w:rPr>
        <w:t>On each matter to be voted on, you have one vote for each share of common stock you own as of the close of business on the Record Date for the Annual Meeting.</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339" w:firstLine="441"/>
        <w:spacing w:after="0" w:line="261" w:lineRule="auto"/>
        <w:rPr>
          <w:sz w:val="20"/>
          <w:szCs w:val="20"/>
          <w:color w:val="auto"/>
        </w:rPr>
      </w:pPr>
      <w:r>
        <w:rPr>
          <w:rFonts w:ascii="Times New Roman" w:cs="Times New Roman" w:eastAsia="Times New Roman" w:hAnsi="Times New Roman"/>
          <w:sz w:val="18"/>
          <w:szCs w:val="18"/>
          <w:color w:val="auto"/>
        </w:rPr>
        <w:t>The Company will pay for the entire cost of soliciting proxies. In addition to the mailed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121" w:lineRule="exact"/>
        <w:rPr>
          <w:sz w:val="20"/>
          <w:szCs w:val="20"/>
          <w:color w:val="auto"/>
        </w:rPr>
      </w:pPr>
    </w:p>
    <w:p>
      <w:pPr>
        <w:ind w:left="300" w:right="359" w:firstLine="441"/>
        <w:spacing w:after="0" w:line="282" w:lineRule="auto"/>
        <w:rPr>
          <w:sz w:val="20"/>
          <w:szCs w:val="20"/>
          <w:color w:val="auto"/>
        </w:rPr>
      </w:pPr>
      <w:r>
        <w:rPr>
          <w:rFonts w:ascii="Times New Roman" w:cs="Times New Roman" w:eastAsia="Times New Roman" w:hAnsi="Times New Roman"/>
          <w:sz w:val="18"/>
          <w:szCs w:val="18"/>
          <w:color w:val="auto"/>
        </w:rPr>
        <w:t xml:space="preserve">If you receive more than one proxy card, your shares are registered in more than one name or are registered in different accounts. Please complete, sign and return </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proxy card to ensure that all of your shares are voted.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revoke or change my vote after submitting my proxy?</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Yes. You can revoke your proxy and change your vote at any time before the applicable vote deadlines for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Annual Meeting. If you are the record holder of your shares, you may revoke your proxy in any one of four ways:</w:t>
      </w:r>
    </w:p>
    <w:p>
      <w:pPr>
        <w:spacing w:after="0" w:line="99" w:lineRule="exact"/>
        <w:rPr>
          <w:sz w:val="20"/>
          <w:szCs w:val="20"/>
          <w:color w:val="auto"/>
        </w:rPr>
      </w:pPr>
    </w:p>
    <w:p>
      <w:pPr>
        <w:ind w:left="1540" w:hanging="276"/>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with a later date;</w:t>
      </w:r>
    </w:p>
    <w:p>
      <w:pPr>
        <w:spacing w:after="0" w:line="117" w:lineRule="exact"/>
        <w:rPr>
          <w:rFonts w:ascii="Times New Roman" w:cs="Times New Roman" w:eastAsia="Times New Roman" w:hAnsi="Times New Roman"/>
          <w:sz w:val="18"/>
          <w:szCs w:val="18"/>
          <w:color w:val="auto"/>
        </w:rPr>
      </w:pPr>
    </w:p>
    <w:p>
      <w:pPr>
        <w:ind w:left="1540" w:hanging="276"/>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again by Internet or telephone at a later time;</w:t>
      </w:r>
    </w:p>
    <w:p>
      <w:pPr>
        <w:spacing w:after="0" w:line="117" w:lineRule="exact"/>
        <w:rPr>
          <w:rFonts w:ascii="Times New Roman" w:cs="Times New Roman" w:eastAsia="Times New Roman" w:hAnsi="Times New Roman"/>
          <w:sz w:val="18"/>
          <w:szCs w:val="18"/>
          <w:color w:val="auto"/>
        </w:rPr>
      </w:pPr>
    </w:p>
    <w:p>
      <w:pPr>
        <w:ind w:left="1540" w:right="359" w:hanging="276"/>
        <w:spacing w:after="0" w:line="282"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our Corporate Secretary at 4242 Campus Point Court, Suite 200, San Diego, California 92121; or</w:t>
      </w:r>
    </w:p>
    <w:p>
      <w:pPr>
        <w:spacing w:after="0" w:line="53" w:lineRule="exact"/>
        <w:rPr>
          <w:rFonts w:ascii="Times New Roman" w:cs="Times New Roman" w:eastAsia="Times New Roman" w:hAnsi="Times New Roman"/>
          <w:sz w:val="18"/>
          <w:szCs w:val="18"/>
          <w:color w:val="auto"/>
        </w:rPr>
      </w:pPr>
    </w:p>
    <w:p>
      <w:pPr>
        <w:ind w:left="1540" w:right="439" w:hanging="276"/>
        <w:spacing w:after="0" w:line="312" w:lineRule="auto"/>
        <w:tabs>
          <w:tab w:leader="none" w:pos="15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attend the Annual Meeting and vote electronically during the Annual Meeting (however, simply attending the Annual Meeting will not, by itself, revoke your proxy or change your vote).</w:t>
      </w:r>
    </w:p>
    <w:p>
      <w:pPr>
        <w:spacing w:after="0" w:line="1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Your most current proxy card or Internet proxy is the one that is counted.</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27"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8"/>
          <w:szCs w:val="18"/>
          <w:b w:val="1"/>
          <w:bCs w:val="1"/>
          <w:color w:val="auto"/>
        </w:rPr>
        <w:t>How can I submit a proposal (including a director nomination) for next year’s annual meeting?</w:t>
      </w:r>
    </w:p>
    <w:p>
      <w:pPr>
        <w:spacing w:after="0" w:line="117" w:lineRule="exact"/>
        <w:rPr>
          <w:sz w:val="20"/>
          <w:szCs w:val="20"/>
          <w:color w:val="auto"/>
        </w:rPr>
      </w:pPr>
    </w:p>
    <w:p>
      <w:pPr>
        <w:ind w:left="300" w:right="439" w:firstLine="441"/>
        <w:spacing w:after="0" w:line="257" w:lineRule="auto"/>
        <w:rPr>
          <w:sz w:val="20"/>
          <w:szCs w:val="20"/>
          <w:color w:val="auto"/>
        </w:rPr>
      </w:pPr>
      <w:r>
        <w:rPr>
          <w:rFonts w:ascii="Times New Roman" w:cs="Times New Roman" w:eastAsia="Times New Roman" w:hAnsi="Times New Roman"/>
          <w:sz w:val="18"/>
          <w:szCs w:val="18"/>
          <w:color w:val="auto"/>
        </w:rPr>
        <w:t>Under the rules of the U.S.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stockholders who wish to submit proposals for inclusion in the Proxy Statement for the 2024 Annual Meeting of Stockholders must submit such proposals to our Corporate Secretary so as to be received by us at 4242 Campus Point Court, Suite 200, San Diego, California 92121, by close of business on or before January 2, 2024, and must comply with all applicable requirements of Rule 14a-8 promulgated under the Securities Exchange Act of 1934, as amended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300" w:right="319" w:firstLine="441"/>
        <w:spacing w:after="0" w:line="239" w:lineRule="auto"/>
        <w:rPr>
          <w:sz w:val="20"/>
          <w:szCs w:val="20"/>
          <w:color w:val="auto"/>
        </w:rPr>
      </w:pPr>
      <w:r>
        <w:rPr>
          <w:rFonts w:ascii="Times New Roman" w:cs="Times New Roman" w:eastAsia="Times New Roman" w:hAnsi="Times New Roman"/>
          <w:sz w:val="18"/>
          <w:szCs w:val="18"/>
          <w:color w:val="auto"/>
        </w:rPr>
        <w:t>If a stockholder intends to make a director nomination or present a proposal for other business (other than pursuant to Rule 14a-8 under the Exchange Act) at the 2024 Annual Meeting of Stockholders, the stockholder must deliver written notice to our Corporate Secretary at the address provided above not earlier than February 9, 2024 and not later than March 10, 2024. Such nomination(s) or proposal(s) may or may not be included in the Proxy Statement. If the date of the 2024 Annual Meeting of Stockholders changes by more than 30 calendar days prior to, or more than 30 calendar days after, the anniversary of the 2023 Annual Meeting of Stockholders, then stockholder notice must be delivered not later than the close of business on the later of: (i)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calendar day prior to such annual meeting; or (ii)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calendar day following the day on which public disclosure of the date of such meeting is first made. We also advise you to review our bylaws, which contain additional requirements about advance notice of stockholder proposals and director nominations.</w:t>
      </w:r>
    </w:p>
    <w:p>
      <w:pPr>
        <w:spacing w:after="0" w:line="204" w:lineRule="exact"/>
        <w:rPr>
          <w:sz w:val="20"/>
          <w:szCs w:val="20"/>
          <w:color w:val="auto"/>
        </w:rPr>
      </w:pPr>
    </w:p>
    <w:p>
      <w:pPr>
        <w:ind w:left="300" w:right="319" w:firstLine="441"/>
        <w:spacing w:after="0" w:line="312" w:lineRule="auto"/>
        <w:rPr>
          <w:sz w:val="20"/>
          <w:szCs w:val="20"/>
          <w:color w:val="auto"/>
        </w:rPr>
      </w:pPr>
      <w:r>
        <w:rPr>
          <w:rFonts w:ascii="Times New Roman" w:cs="Times New Roman" w:eastAsia="Times New Roman" w:hAnsi="Times New Roman"/>
          <w:sz w:val="17"/>
          <w:szCs w:val="17"/>
          <w:color w:val="auto"/>
        </w:rPr>
        <w:t>In addition, stockholders who intend to solicit proxies in support of director nominees other than our nominees must provide in their notice any additional information required by Rule 14a-19(b) under the Exchange Act.</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300" w:right="359" w:firstLine="441"/>
        <w:spacing w:after="0" w:line="253"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(that is, in “street name”), you will need to obtain a proxy form from the institution that holds your shares and follow the instructions included on that form regarding how to instruct your broker, bank or other agent to vote your shares. If a beneficial owner of shares held in “street name” does not give instructions to his or her broker, bank or other agent, such nominee has discretionary authority to vote such shares with respect to “routine” matters but does not have discretionary authority to vote such shares with respect to “non-routine” matters. For “non-routine” matters for which a broker, bank or other agent does not have discretionary authority to vote a beneficial owner’s shares, the un-voted shares are generally referred to and counted as “broker non-votes.” The determination of whether a proposal is “routine” or “non-routine” will be made by the New York Stock Exchange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or by Broadridge Financial Solutions (“</w:t>
      </w:r>
      <w:r>
        <w:rPr>
          <w:rFonts w:ascii="Times New Roman" w:cs="Times New Roman" w:eastAsia="Times New Roman" w:hAnsi="Times New Roman"/>
          <w:sz w:val="18"/>
          <w:szCs w:val="18"/>
          <w:b w:val="1"/>
          <w:bCs w:val="1"/>
          <w:i w:val="1"/>
          <w:iCs w:val="1"/>
          <w:color w:val="auto"/>
        </w:rPr>
        <w:t>Broadridge</w:t>
      </w:r>
      <w:r>
        <w:rPr>
          <w:rFonts w:ascii="Times New Roman" w:cs="Times New Roman" w:eastAsia="Times New Roman" w:hAnsi="Times New Roman"/>
          <w:sz w:val="18"/>
          <w:szCs w:val="18"/>
          <w:color w:val="auto"/>
        </w:rPr>
        <w:t>”) (acting as an agent for NYSE-registered brokerage firms and interpreting NYSE rules) based on NYSE rules that regulate how member brokerage firms are permitted to vote in the absence of instructions from beneficial owners.</w:t>
      </w:r>
    </w:p>
    <w:p>
      <w:pPr>
        <w:spacing w:after="0" w:line="192" w:lineRule="exact"/>
        <w:rPr>
          <w:sz w:val="20"/>
          <w:szCs w:val="20"/>
          <w:color w:val="auto"/>
        </w:rPr>
      </w:pPr>
    </w:p>
    <w:p>
      <w:pPr>
        <w:ind w:left="300" w:right="319" w:firstLine="441"/>
        <w:spacing w:after="0" w:line="255" w:lineRule="auto"/>
        <w:rPr>
          <w:sz w:val="20"/>
          <w:szCs w:val="20"/>
          <w:color w:val="auto"/>
        </w:rPr>
      </w:pPr>
      <w:r>
        <w:rPr>
          <w:rFonts w:ascii="Times New Roman" w:cs="Times New Roman" w:eastAsia="Times New Roman" w:hAnsi="Times New Roman"/>
          <w:sz w:val="18"/>
          <w:szCs w:val="18"/>
          <w:color w:val="auto"/>
        </w:rPr>
        <w:t>In this regard, we have been advised by the NYSE that Proposals 1, 3, 4, 5 and 6 are considered to be “non-routine” under NYSE rules, and therefore we expect broker non-votes to exist in connection with Proposals 1, 3, 4, 5 and 6. Further, we have been advised by the NYSE that Proposal 2 is considered to be “routine” under NYSE rules, and therefore we do not expect broker non-votes on Proposal 2. As described above, the determination of whether a proposal is “routine” or “non-routine” will be made by the NYSE or by Broadridge (acting as an agent for NYSE-registered brokerage firms and interpreting NYSE rules), and we cannot guarantee what determination the NYSE or Broadridge, as applicable, will ultimately make with respect to any particular proposal.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 and how many votes are needed to approve each proposal?</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Votes will be counted by the inspector of elections appointed for the Annual Meeting.</w:t>
      </w:r>
    </w:p>
    <w:p>
      <w:pPr>
        <w:spacing w:after="0" w:line="113" w:lineRule="exact"/>
        <w:rPr>
          <w:sz w:val="20"/>
          <w:szCs w:val="20"/>
          <w:color w:val="auto"/>
        </w:rPr>
      </w:pPr>
    </w:p>
    <w:p>
      <w:pPr>
        <w:ind w:left="1540" w:right="299" w:hanging="276"/>
        <w:spacing w:after="0" w:line="255"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Director nominees, in uncontested elections, shall be elected by a majority of the votes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properly cast with respect to that director nominee, provided a quorum is established. We have been advised by the NYSE that the election of directors is considered a “non-routine” matter under NYSE rules. Therefore, if you are a beneficial owner and do not give your broker, bank or other agent voting instructions, the institution that holds your shares may not have discretionary authority to vote your shares with respect to this proposal. Accordingly, assuming this proposal is deemed to be a “non-routine” matter under NYSE rules as we have been advised by the NYSE, abstentions and broker non-votes will have no effect on this proposal.</w:t>
      </w:r>
    </w:p>
    <w:p>
      <w:pPr>
        <w:spacing w:after="0" w:line="76" w:lineRule="exact"/>
        <w:rPr>
          <w:rFonts w:ascii="Times New Roman" w:cs="Times New Roman" w:eastAsia="Times New Roman" w:hAnsi="Times New Roman"/>
          <w:sz w:val="18"/>
          <w:szCs w:val="18"/>
          <w:color w:val="auto"/>
        </w:rPr>
      </w:pPr>
    </w:p>
    <w:p>
      <w:pPr>
        <w:ind w:left="1540" w:right="319" w:hanging="276"/>
        <w:spacing w:after="0" w:line="254"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proposal to ratify the appointment of Withum Smith+Brown, PC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registered public accounting firm for the year ending December 31, 2023 requires the affirmative vote of a majority of the votes properly cast on the proposal, provided a quorum is established. We have been advised by the NYSE that ratification of the selection of a company’s independent registered public accounting firm is considered a “routine” matter under NYSE rules. Therefore, if you are a beneficial owner and do not provide specific voting instructions to your broker, bank or other agent, the institution that holds your shares may have discretionary authority to vote your shares with respect to this proposal. Accordingly, assuming this proposal is deemed to be a “routine” matter under NYSE rules as we have been advised by the NYSE, abstentions will have no effect on the outcome of this proposal and we do not expect any broker non-votes since we expect brokers, banks or other agents to have discretionary authority to vote on this proposal.</w:t>
      </w:r>
    </w:p>
    <w:p>
      <w:pPr>
        <w:spacing w:after="0" w:line="74" w:lineRule="exact"/>
        <w:rPr>
          <w:rFonts w:ascii="Times New Roman" w:cs="Times New Roman" w:eastAsia="Times New Roman" w:hAnsi="Times New Roman"/>
          <w:sz w:val="18"/>
          <w:szCs w:val="18"/>
          <w:color w:val="auto"/>
        </w:rPr>
      </w:pPr>
    </w:p>
    <w:p>
      <w:pPr>
        <w:ind w:left="1540" w:right="359" w:hanging="276"/>
        <w:spacing w:after="0" w:line="254"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The proposal to approve, on an advisory basis, the compensation paid to our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requires the affirmative vote of a majority of the votes properly cast on the proposal, provided a quorum is established. We have been advised by the NYSE that approval, on an advisory basis, of the compensation paid to a company’s named executive officers is considered a “non-routine” matter under NYSE rules. Therefore, if you are a beneficial owner and do not give your broker, bank or other agent voting instructions, the institution that holds your shares may not have discretionary authority to vote your shares with respect to this proposal. Accordingly, assuming this proposal is deemed to be a “non-routine” matter under NYSE rules as we have been advised by the NYSE, abstentions and broker non-votes will have no effect on the outcome of this proposal.</w:t>
      </w:r>
    </w:p>
    <w:p>
      <w:pPr>
        <w:spacing w:after="0" w:line="77" w:lineRule="exact"/>
        <w:rPr>
          <w:rFonts w:ascii="Times New Roman" w:cs="Times New Roman" w:eastAsia="Times New Roman" w:hAnsi="Times New Roman"/>
          <w:sz w:val="18"/>
          <w:szCs w:val="18"/>
          <w:color w:val="auto"/>
        </w:rPr>
      </w:pPr>
    </w:p>
    <w:p>
      <w:pPr>
        <w:ind w:left="1540" w:right="319" w:hanging="276"/>
        <w:spacing w:after="0" w:line="252"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The proposal to approve an amendment to our Certificate of Incorporation to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number of authorized shares of common stock by 75,000,000 from 150,000,000 to 225,000,000 requires the affirmative vote of a majority of the outstanding shares of common stock entitled to vote, provided a quorum is established. We expect that the proposal to approve this amendment of our Certificate of Incorporation will be considered a “non-routine” matter under NYSE rules. While similar proposals are typically considered to be “routine” matters under NYSE rules, we have been advised by the NYSE that this proposal will be considered a “non-routine” matter under NYSE rules given our current lack of sufficient unissued and unreserved shares of common stock to effect the proposed share increase under our 2007 Plan as described in Proposal 5 (NYSE has further advised us that Proposal 5 will also be considered a “non-routine” matter). Accordingly, we expect broker non-votes to exist with respect to this proposal. Therefore, if you are a beneficial owner and do not provide specific voting instructions to your broker, bank or other agent, the institution that holds your shares may not have discretionary authority to vote your shares with respect to this proposal. Accordingly, assuming this proposal is deemed to be a “non-routine” matter under NYSE rules as we have been advised by the NYSE, abstentions will have the same effect as a vote cast “against” this proposal and broker non-votes will have no effect on the outcome of this proposal.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9" w:name="page10"/>
    <w:bookmarkEnd w:id="9"/>
    <w:p>
      <w:pPr>
        <w:ind w:left="1540" w:right="319" w:hanging="276"/>
        <w:spacing w:after="0" w:line="272" w:lineRule="auto"/>
        <w:tabs>
          <w:tab w:leader="none" w:pos="1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5: </w:t>
      </w:r>
      <w:r>
        <w:rPr>
          <w:rFonts w:ascii="Times New Roman" w:cs="Times New Roman" w:eastAsia="Times New Roman" w:hAnsi="Times New Roman"/>
          <w:sz w:val="17"/>
          <w:szCs w:val="17"/>
          <w:color w:val="auto"/>
        </w:rPr>
        <w:t>The proposal to amend our 2007 Plan requires the affirmative vote of a majority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votes properly cast on the proposal, provided a quorum is established. We have been advised by the NYSE that approval of the amendment to our 2007 Plan will be considered a “non-routine” matter under NYSE rules. Therefore, if you are a beneficial owner and do not give your broker, bank or other agent voting instructions, the institution that holds your shares may not have discretionary authority to vote your shares with respect to this proposal. Accordingly, assuming this proposal is deemed to be a “non-routine” matter under NYSE rules as we have been advised by the NYSE, abstentions and broker non-votes will have no effect on the outcome of this proposal.</w:t>
      </w:r>
    </w:p>
    <w:p>
      <w:pPr>
        <w:spacing w:after="0" w:line="63" w:lineRule="exact"/>
        <w:rPr>
          <w:rFonts w:ascii="Times New Roman" w:cs="Times New Roman" w:eastAsia="Times New Roman" w:hAnsi="Times New Roman"/>
          <w:sz w:val="17"/>
          <w:szCs w:val="17"/>
          <w:color w:val="auto"/>
        </w:rPr>
      </w:pPr>
    </w:p>
    <w:p>
      <w:pPr>
        <w:ind w:left="1540" w:right="319" w:hanging="276"/>
        <w:spacing w:after="0" w:line="255"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6: </w:t>
      </w:r>
      <w:r>
        <w:rPr>
          <w:rFonts w:ascii="Times New Roman" w:cs="Times New Roman" w:eastAsia="Times New Roman" w:hAnsi="Times New Roman"/>
          <w:sz w:val="18"/>
          <w:szCs w:val="18"/>
          <w:color w:val="auto"/>
        </w:rPr>
        <w:t>The proposal to amend our ESPP requires the affirmative vote of a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votes properly cast on the proposal, provided a quorum is established. We have been advised by the NYSE that approval of the amendment to our ESPP will be considered a “non-routine” matter under NYSE rules. Therefore, if you are a beneficial owner and do not give your broker, bank or other agent voting instructions, the institution that holds your shares may not have discretionary authority to vote your shares with respect to this proposal. Accordingly, assuming this proposal is deemed to be a “non-routine” matter under NYSE rules as we have been advised by the NYSE, abstentions and broker non-votes will have no effect on the outcome of this proposal.</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379" w:firstLine="441"/>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at least a majority of the shares issued and outstanding and entitled to vote at the Annual Meeting as of the close of business on the Record Date are represented by stockholders present at the Annual Meeting or represented by proxy. At the close of business on the Record Date, there were 119,279,998 shares outstanding and entitled to vote.</w:t>
      </w:r>
    </w:p>
    <w:p>
      <w:pPr>
        <w:spacing w:after="0" w:line="180" w:lineRule="exact"/>
        <w:rPr>
          <w:sz w:val="20"/>
          <w:szCs w:val="20"/>
          <w:color w:val="auto"/>
        </w:rPr>
      </w:pPr>
    </w:p>
    <w:p>
      <w:pPr>
        <w:ind w:left="300" w:right="519" w:firstLine="441"/>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a majority of the votes present at the Annual Meeting may adjourn the Annual Meeting to another date.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300" w:right="419" w:firstLine="441"/>
        <w:spacing w:after="0" w:line="256" w:lineRule="auto"/>
        <w:rPr>
          <w:sz w:val="20"/>
          <w:szCs w:val="20"/>
          <w:color w:val="auto"/>
        </w:rPr>
      </w:pPr>
      <w:r>
        <w:rPr>
          <w:rFonts w:ascii="Times New Roman" w:cs="Times New Roman" w:eastAsia="Times New Roman" w:hAnsi="Times New Roman"/>
          <w:sz w:val="18"/>
          <w:szCs w:val="18"/>
          <w:color w:val="auto"/>
        </w:rPr>
        <w:t>Preliminary voting results will be announced during the Annual Meeting. In addition, final voting results will be published in a Current Report on Form 8-K that we expect to file within four business days after the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amended report on Form 8-K to publish the final results.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THE BOARD OF DIRECTORS</w:t>
      </w:r>
    </w:p>
    <w:p>
      <w:pPr>
        <w:spacing w:after="0" w:line="229" w:lineRule="exact"/>
        <w:rPr>
          <w:sz w:val="20"/>
          <w:szCs w:val="20"/>
          <w:color w:val="auto"/>
        </w:rPr>
      </w:pPr>
    </w:p>
    <w:p>
      <w:pPr>
        <w:ind w:left="300" w:right="459" w:firstLine="441"/>
        <w:spacing w:after="0" w:line="266" w:lineRule="auto"/>
        <w:rPr>
          <w:sz w:val="20"/>
          <w:szCs w:val="20"/>
          <w:color w:val="auto"/>
        </w:rPr>
      </w:pPr>
      <w:r>
        <w:rPr>
          <w:rFonts w:ascii="Times New Roman" w:cs="Times New Roman" w:eastAsia="Times New Roman" w:hAnsi="Times New Roman"/>
          <w:sz w:val="18"/>
          <w:szCs w:val="18"/>
          <w:color w:val="auto"/>
        </w:rPr>
        <w:t>Certain information regarding each of our director nominees, including each nominee’s age, experience, qualifications, attributes and skills that led the Board to conclude that the individual should serve on the Board and each nominee’s principal occupation and directorships during the past five years, is set forth below:</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80" w:type="dxa"/>
            <w:vAlign w:val="bottom"/>
          </w:tcPr>
          <w:p>
            <w:pPr>
              <w:spacing w:after="0"/>
              <w:rPr>
                <w:sz w:val="18"/>
                <w:szCs w:val="18"/>
                <w:color w:val="auto"/>
              </w:rPr>
            </w:pPr>
          </w:p>
        </w:tc>
      </w:tr>
      <w:tr>
        <w:trPr>
          <w:trHeight w:val="24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1"/>
                <w:szCs w:val="21"/>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Age</w:t>
            </w:r>
          </w:p>
        </w:tc>
        <w:tc>
          <w:tcPr>
            <w:tcW w:w="160" w:type="dxa"/>
            <w:vAlign w:val="bottom"/>
          </w:tcPr>
          <w:p>
            <w:pPr>
              <w:spacing w:after="0"/>
              <w:rPr>
                <w:sz w:val="21"/>
                <w:szCs w:val="21"/>
                <w:color w:val="auto"/>
              </w:rPr>
            </w:pP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0" w:type="dxa"/>
            <w:vAlign w:val="bottom"/>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80" w:type="dxa"/>
            <w:vAlign w:val="bottom"/>
          </w:tcPr>
          <w:p>
            <w:pPr>
              <w:spacing w:after="0"/>
              <w:rPr>
                <w:sz w:val="21"/>
                <w:szCs w:val="21"/>
                <w:color w:val="auto"/>
              </w:rPr>
            </w:pPr>
          </w:p>
        </w:tc>
      </w:tr>
      <w:tr>
        <w:trPr>
          <w:trHeight w:val="24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Craig Collard</w:t>
            </w:r>
          </w:p>
        </w:tc>
        <w:tc>
          <w:tcPr>
            <w:tcW w:w="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21"/>
                <w:szCs w:val="21"/>
                <w:color w:val="auto"/>
              </w:rPr>
            </w:pPr>
          </w:p>
        </w:tc>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FF0FC"/>
          </w:tcPr>
          <w:p>
            <w:pPr>
              <w:spacing w:after="0"/>
              <w:rPr>
                <w:sz w:val="21"/>
                <w:szCs w:val="21"/>
                <w:color w:val="auto"/>
              </w:rPr>
            </w:pPr>
          </w:p>
        </w:tc>
      </w:tr>
      <w:tr>
        <w:trPr>
          <w:trHeight w:val="23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Sharmila Dissanaike, M.D., FACS, FCCM</w:t>
            </w: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47"/>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Craig Johnson</w:t>
            </w:r>
          </w:p>
        </w:tc>
        <w:tc>
          <w:tcPr>
            <w:tcW w:w="8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FF0FC"/>
          </w:tcPr>
          <w:p>
            <w:pPr>
              <w:spacing w:after="0"/>
              <w:rPr>
                <w:sz w:val="21"/>
                <w:szCs w:val="21"/>
                <w:color w:val="auto"/>
              </w:rPr>
            </w:pPr>
          </w:p>
        </w:tc>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shd w:val="clear" w:color="auto" w:fill="CFF0FC"/>
          </w:tcPr>
          <w:p>
            <w:pPr>
              <w:spacing w:after="0"/>
              <w:rPr>
                <w:sz w:val="21"/>
                <w:szCs w:val="21"/>
                <w:color w:val="auto"/>
              </w:rPr>
            </w:pPr>
          </w:p>
        </w:tc>
      </w:tr>
      <w:tr>
        <w:trPr>
          <w:trHeight w:val="23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Kevin Kotler</w:t>
            </w: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r>
      <w:tr>
        <w:trPr>
          <w:trHeight w:val="247"/>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Adam Morgan</w:t>
            </w:r>
          </w:p>
        </w:tc>
        <w:tc>
          <w:tcPr>
            <w:tcW w:w="8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FF0FC"/>
          </w:tcPr>
          <w:p>
            <w:pPr>
              <w:spacing w:after="0"/>
              <w:rPr>
                <w:sz w:val="21"/>
                <w:szCs w:val="21"/>
                <w:color w:val="auto"/>
              </w:rPr>
            </w:pPr>
          </w:p>
        </w:tc>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8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FF0FC"/>
          </w:tcPr>
          <w:p>
            <w:pPr>
              <w:spacing w:after="0"/>
              <w:rPr>
                <w:sz w:val="21"/>
                <w:szCs w:val="21"/>
                <w:color w:val="auto"/>
              </w:rPr>
            </w:pPr>
          </w:p>
        </w:tc>
      </w:tr>
      <w:tr>
        <w:trPr>
          <w:trHeight w:val="23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Susan Rodriguez</w:t>
            </w: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47"/>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Christian Waage</w:t>
            </w:r>
          </w:p>
        </w:tc>
        <w:tc>
          <w:tcPr>
            <w:tcW w:w="8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FF0FC"/>
          </w:tcPr>
          <w:p>
            <w:pPr>
              <w:spacing w:after="0"/>
              <w:rPr>
                <w:sz w:val="21"/>
                <w:szCs w:val="21"/>
                <w:color w:val="auto"/>
              </w:rPr>
            </w:pPr>
          </w:p>
        </w:tc>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shd w:val="clear" w:color="auto" w:fill="CFF0FC"/>
          </w:tcPr>
          <w:p>
            <w:pPr>
              <w:spacing w:after="0"/>
              <w:rPr>
                <w:sz w:val="21"/>
                <w:szCs w:val="21"/>
                <w:color w:val="auto"/>
              </w:rPr>
            </w:pPr>
          </w:p>
        </w:tc>
      </w:tr>
    </w:tbl>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 xml:space="preserve">Craig Collard </w:t>
      </w:r>
      <w:r>
        <w:rPr>
          <w:rFonts w:ascii="Times New Roman" w:cs="Times New Roman" w:eastAsia="Times New Roman" w:hAnsi="Times New Roman"/>
          <w:sz w:val="18"/>
          <w:szCs w:val="18"/>
          <w:color w:val="auto"/>
        </w:rPr>
        <w:t>has served as a director of Heron since February 2023 and as Chief Executive Officer since</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2023. Mr. Collard most recently served as the Chief Executive Officer of Veloxis Pharmaceutics A/S (now</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Veloxis Pharmaceuticals Inc., “</w:t>
      </w:r>
      <w:r>
        <w:rPr>
          <w:rFonts w:ascii="Times New Roman" w:cs="Times New Roman" w:eastAsia="Times New Roman" w:hAnsi="Times New Roman"/>
          <w:sz w:val="18"/>
          <w:szCs w:val="18"/>
          <w:b w:val="1"/>
          <w:bCs w:val="1"/>
          <w:i w:val="1"/>
          <w:iCs w:val="1"/>
          <w:color w:val="auto"/>
        </w:rPr>
        <w:t>Veloxis</w:t>
      </w:r>
      <w:r>
        <w:rPr>
          <w:rFonts w:ascii="Times New Roman" w:cs="Times New Roman" w:eastAsia="Times New Roman" w:hAnsi="Times New Roman"/>
          <w:sz w:val="18"/>
          <w:szCs w:val="18"/>
          <w:color w:val="auto"/>
        </w:rPr>
        <w:t>”) before it was acquired by Asahi Kasei Corp, a transplant focused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pharmaceutical company with its principal office in Cary, North Carolina, from 2015 to December 2021,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remains on the Veloxis board of advisors. Prior to joining Veloxis, Mr. Collard served as the Chief Executive Officer</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the Chairman of the Board of Directors of Cornerstone Therapeutics, Inc., a pharmaceutical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Cornerstone</w:t>
      </w:r>
      <w:r>
        <w:rPr>
          <w:rFonts w:ascii="Times New Roman" w:cs="Times New Roman" w:eastAsia="Times New Roman" w:hAnsi="Times New Roman"/>
          <w:sz w:val="18"/>
          <w:szCs w:val="18"/>
          <w:color w:val="auto"/>
        </w:rPr>
        <w:t>”), from 2011 until it was acquired by Chiesi Farmaceutici S.p.A. in 2014. Mr. Collard also served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Cornerstone’s Interim Chief Financial Officer, from 2010 to 2011, and as its President, from 2008 to 2011. Mr.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Collard served as the Founder, President and Chief Executive Officer of Cornerstone BioPharma Inc. (formerly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Cornerstone BioPharma Holdings, Ltd.), a pharmaceutical company, and as a member of its board of directors, from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2004 to 2008. Prior to that, Mr. Collard served as President and Chief Executive Officer of Carolina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Pharmaceuticals, Inc., a specialty pharmaceutical company that he founded in 2003. Mr. Collard currently serves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 of TerrAscend Corp., a North American cannabis operator based in Mississauga, Canada,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 December 2018. Mr. Collard previously served as a member of the board of directors of Sierra Oncology,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San Mateo, California-based late-stage biopharmaceutical company acquired by GlaxoSmithKline plc, from May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2020 to July 2022. He also served as Chairman of Opiant Pharmaceuticals, Inc., a specialty pharmaceutical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Santa Monica, California developing therapies to treat substance and use disorders and drug overdose since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2018 until being acquired by Indivior on March 1, 2023. Mr. Collard holds a B.S. in Engineering from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Southern College of Technology (now Southern Polytechnic State University). Mr. Collard was initially appointed as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director pursuant to a Cooperation Agreement by and between the Company and Rubric Capital Management LP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certain of its affiliates and Velan Capital Investment Management LP and certain of its affiliates, dated as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21, 2023, regarding changes to the composition of the Board and other related matters (the “</w:t>
      </w:r>
      <w:r>
        <w:rPr>
          <w:rFonts w:ascii="Times New Roman" w:cs="Times New Roman" w:eastAsia="Times New Roman" w:hAnsi="Times New Roman"/>
          <w:sz w:val="18"/>
          <w:szCs w:val="18"/>
          <w:b w:val="1"/>
          <w:bCs w:val="1"/>
          <w:i w:val="1"/>
          <w:iCs w:val="1"/>
          <w:color w:val="auto"/>
        </w:rPr>
        <w:t>Cooperation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Board has concluded that Mr. Collard should serve as a director based on his experience in senior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management, commercial operations, and as a director with other biotechnology and pharmaceutical companies.</w:t>
      </w:r>
    </w:p>
    <w:p>
      <w:pPr>
        <w:spacing w:after="0" w:line="205" w:lineRule="exact"/>
        <w:rPr>
          <w:sz w:val="20"/>
          <w:szCs w:val="20"/>
          <w:color w:val="auto"/>
        </w:rPr>
      </w:pPr>
    </w:p>
    <w:p>
      <w:pPr>
        <w:ind w:left="300" w:right="339" w:firstLine="441"/>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Sharmila Dissanaike, M.D., FACS, FCCM </w:t>
      </w:r>
      <w:r>
        <w:rPr>
          <w:rFonts w:ascii="Times New Roman" w:cs="Times New Roman" w:eastAsia="Times New Roman" w:hAnsi="Times New Roman"/>
          <w:sz w:val="17"/>
          <w:szCs w:val="17"/>
          <w:color w:val="auto"/>
        </w:rPr>
        <w:t>has served as a director of Heron since 2021. Dr. Dissanaike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been University Distinguished Professor and Peter C. Canizaro Chair of the Department of Surgery at Texas Tech University Health Sciences Center (TTUHSC) since 2016. In addition, from 2015 to 2018, Dr. Dissanaike served as Interim Director of the Timothy J. Harnar Burn Center at University Medical Center in Lubbock, Texas (UMC). From 2014 to 2017, Dr. Dissanaike served as Trauma Medical Director of the John A. Griswold Level 1 Trauma Center at UMC. In January 2021, she was appointed to the Texas Medical Board by Governor Greg Abbott. Dr. Dissanaike is a clinically active trauma, burn and acute care surgeon who has won over 50 awards for clinical, academic and research excellence and service during her career. Dr. Dissanaike has published over 100 peer-reviewed scientific articles, in addition to numerous book chapters, peer-reviewed presentations and national and international invited lectureships. Dr. Dissanaike holds multiple national leadership and quality assurance roles including Chair of the American Burn Association Verification Committee, member of the American College of Surgeons Trauma Verification Committee and Committee on Trauma, and on the Boards of the American Burn Association and Southwestern Surgical Congress. She serves the American College of Surgeons as Governor and on the Committee for Ethics, the Advisory Council of Rural Surgery and Program Committee, highlighting her wide array of interests and longstanding dedication to advancing all aspects of surgical care. Dr. Dissanaike received her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 w:name="page12"/>
    <w:bookmarkEnd w:id="11"/>
    <w:p>
      <w:pPr>
        <w:ind w:left="300" w:right="339"/>
        <w:spacing w:after="0" w:line="256" w:lineRule="auto"/>
        <w:rPr>
          <w:sz w:val="20"/>
          <w:szCs w:val="20"/>
          <w:color w:val="auto"/>
        </w:rPr>
      </w:pPr>
      <w:r>
        <w:rPr>
          <w:rFonts w:ascii="Times New Roman" w:cs="Times New Roman" w:eastAsia="Times New Roman" w:hAnsi="Times New Roman"/>
          <w:sz w:val="18"/>
          <w:szCs w:val="18"/>
          <w:color w:val="auto"/>
        </w:rPr>
        <w:t>medical degree from the University of Sydney, Australia and her undergraduate degree from Methodist College in Colombo, Sri Lanka. Dr. Dissanaike completed her postgraduate medical training at the University of Washington at Harborview Medical Center, the Department of Surgery at TTUHSC, the Department of Surgery at Albert Einstein College of Medicine at Beth Israel Medical Center and the Department of Medicine at Inverclyde Hospital, National Health Service. The Board has concluded that Dr. Dissanaike should serve as a director based on her experience and achievements in surgical medicine.</w:t>
      </w:r>
    </w:p>
    <w:p>
      <w:pPr>
        <w:spacing w:after="0" w:line="185" w:lineRule="exact"/>
        <w:rPr>
          <w:sz w:val="20"/>
          <w:szCs w:val="20"/>
          <w:color w:val="auto"/>
        </w:rPr>
      </w:pPr>
    </w:p>
    <w:p>
      <w:pPr>
        <w:ind w:left="300" w:right="29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Craig Johnson </w:t>
      </w:r>
      <w:r>
        <w:rPr>
          <w:rFonts w:ascii="Times New Roman" w:cs="Times New Roman" w:eastAsia="Times New Roman" w:hAnsi="Times New Roman"/>
          <w:sz w:val="18"/>
          <w:szCs w:val="18"/>
          <w:color w:val="auto"/>
        </w:rPr>
        <w:t>has served as a director of Heron since 2014. He also serves as a director of Mirati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Therapeutics, Inc. and Odonate, Inc. Mr. Johnson previously served as a director of La Jolla Pharmaceutical Company from 2013 until its acquisition by Innoviva, Inc. in 2022, Decipher Biosciences, Inc. from 2015 to 2018, Adamis Pharmaceuticals Corporation from 2011 to 2014 and Ardea Biosciences, Inc. from 2008 until its acquisition by AstraZeneca PLC in 2012. Mr. Johnson served as Vice President and Chief Financial Officer of TorreyPines Therapeutics, Inc. from 2004 until its sale to Raptor Pharmaceuticals Corp. in 2009, and then as Vice President of a wholly-owned subsidiary of Raptor Pharmaceutical Corp. from 2009 to 2010. From 1994 to 2004, he held various positions at MitoKor, Inc., concluding his service as Chief Financial Officer and Senior Vice President of Operations. Mr. Johnson practiced as a Certified Public Accountant with Price Waterhouse, and he received a B.B.A. degree in accounting from the University of Michigan-Dearborn. The Board has concluded that Mr. Johnson should serve as a director based on his experience serving as a director of biotechnology companies and his expertise in financial management.</w:t>
      </w:r>
    </w:p>
    <w:p>
      <w:pPr>
        <w:spacing w:after="0" w:line="190" w:lineRule="exact"/>
        <w:rPr>
          <w:sz w:val="20"/>
          <w:szCs w:val="20"/>
          <w:color w:val="auto"/>
        </w:rPr>
      </w:pPr>
    </w:p>
    <w:p>
      <w:pPr>
        <w:ind w:left="300" w:right="31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Kevin Kotler </w:t>
      </w:r>
      <w:r>
        <w:rPr>
          <w:rFonts w:ascii="Times New Roman" w:cs="Times New Roman" w:eastAsia="Times New Roman" w:hAnsi="Times New Roman"/>
          <w:sz w:val="18"/>
          <w:szCs w:val="18"/>
          <w:color w:val="auto"/>
        </w:rPr>
        <w:t>has served as a director of Heron since February 2023. Mr. Kotler has over 30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as an investor and analyst focused on the healthcare industry. Since mid-2020, Mr. Kotler invests through Broadfin Holdings, a family office focused on investing in public and private companies across all sectors. From 2005 to 2020, he was the Founder and Portfolio Manager of Broadfin Capital, LLC, a healthcare focused investment fund which utilized passive and activist investment strategies in public and private medical technology, biotechnology and pharmaceutical companies. Since mid-2021, Mr. Kotler has been a member of New York Angels, a New York based investment group focused on early-stage companies. He also serves on the board of Curonix a privately held company and previously served on the board of Biodelivery Sciences International and Avadel Pharmaceuticals plc. Mr. Kotler was previously a board member of the Memorial Sloan-Kettering Cancer Center Technology Development Fund. He is co-founder of Hamptons United, a charity started as a result of the coronavirus pandemic to help support local charities on the east end of Long Island. Kevin graduated from the Wharton School at the University of Pennsylvania in 1993 with a Bachelor of Science degree in Economics. Mr. Kotler was initially appointed as a director of the Company pursuant to the Cooperation Agreement. The Board has concluded that Mr. Kotler should serve as a director based on his experience as an investor and analyst focused on the healthcare industry, serving as a director of life sciences companies and his expertise in financial management.</w:t>
      </w:r>
    </w:p>
    <w:p>
      <w:pPr>
        <w:spacing w:after="0" w:line="196" w:lineRule="exact"/>
        <w:rPr>
          <w:sz w:val="20"/>
          <w:szCs w:val="20"/>
          <w:color w:val="auto"/>
        </w:rPr>
      </w:pPr>
    </w:p>
    <w:p>
      <w:pPr>
        <w:ind w:left="300" w:right="37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Adam Morgan </w:t>
      </w:r>
      <w:r>
        <w:rPr>
          <w:rFonts w:ascii="Times New Roman" w:cs="Times New Roman" w:eastAsia="Times New Roman" w:hAnsi="Times New Roman"/>
          <w:sz w:val="18"/>
          <w:szCs w:val="18"/>
          <w:color w:val="auto"/>
        </w:rPr>
        <w:t>has served as a director of Heron since February 2023 and as Chairman of the Board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2023. Mr. Morgan currently serves as the Chief Investment Officer of Velan Capital Investment Management LP, a healthcare-dedicated investment firm based in Alpharetta, Georgia. Mr. Morgan also currently serves on the board of directors of Alimera Sciences, Inc., where he serves as a director and member of the company’s Compensation Committee, and Health Outlook Corporation, a privately-held developer of predictive healthcare technology and service based in New York, New York, where he serves as a director and chair of the company’s audit committee. Previously, Mr. Morgan served as Senior Analyst at Broadfin Capital, LLC, a healthcare dedicated investment firm based in New York, New York, where he covered the Biotech and Pharmaceutical sectors, from February 2018 to June 2020. Prior to that, Mr. Morgan served as Senior Analyst at Iguana Healthcare Partners LLC, a healthcare-dedicated investment firm based in New York, New York, where he covered Medical Devices and Specialty Pharmaceuticals, from 2015 to January 2018. Mr. Morgan also served as Analyst at Pura Vida Investments, LLC, a healthcare-focused investment firm, where he covered global Medical Devices, from 2014 to 2015. Earlier in his career, Mr. Morgan served as a Research Associate at Cowen and Company (a subsidiary of Cowen Inc.), a financial services company, on the firm’s Medical Supplies and Devices team, from January 2014 to June 2014. Mr. Morgan received his B.S. in Chemistry from the University of Minnesota and his MBA from the Carlson School of Management at the University of Minnesota. Mr. Morgan was initially appointed as a director of the Company pursuant to the Cooperation Agreement. The Board has concluded that Mr. Morgan should serve as a director based on extensive investment experience and operational background focused on the healthcare and biotechnology sectors as well as his corporate governance expertise.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 w:name="page13"/>
    <w:bookmarkEnd w:id="12"/>
    <w:p>
      <w:pPr>
        <w:ind w:left="300" w:right="31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Susan Rodriguez </w:t>
      </w:r>
      <w:r>
        <w:rPr>
          <w:rFonts w:ascii="Times New Roman" w:cs="Times New Roman" w:eastAsia="Times New Roman" w:hAnsi="Times New Roman"/>
          <w:sz w:val="18"/>
          <w:szCs w:val="18"/>
          <w:color w:val="auto"/>
        </w:rPr>
        <w:t>has served as a director of Heron since 2021. Ms. Rodriguez has more than 25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the biopharmaceutical industry, serving in senior commercial and operational management roles. Ms. Rodriguez has served as Chief Commercial Officer of Ardelyx, Inc. since May 2020. From 2014 to 2019, Ms. Rodriguez served as the Chief Executive Officer of Tolmar Pharmaceuticals, Inc., a U.S. commercial specialty oncology company, for which in 2019, Ms. Rodriguez was named President of the branded division upon the formation of the global entity, Tolmar, Inc. At Tolmar, Ms. Rodriguez built out their U.S. specialty pharmaceutical business to become a market leader, which required establishing commercial presence in both 340B and private hospitals. Prior to Tolmar, from 1990 to 2014, Ms. Rodriguez held various positions of increasing responsibility at Abbott Laboratories, most recently as Divisional Vice President of Global Marketing, where she led the global marketing function for an international portfolio of Abbott products. Prior to this role, Ms. Rodriguez served as the Vice President and General Manager of the Abbott Renal Franchise. Ms. Rodriguez received both a M.S. and B.S. in Psychology from the University of Pennsylvania. The Board has concluded that Ms. Rodriguez should serve as a director based on her experience in senior management and commercial operations with other biotechnology and pharmaceutical companies.</w:t>
      </w:r>
    </w:p>
    <w:p>
      <w:pPr>
        <w:spacing w:after="0" w:line="200" w:lineRule="exact"/>
        <w:rPr>
          <w:sz w:val="20"/>
          <w:szCs w:val="20"/>
          <w:color w:val="auto"/>
        </w:rPr>
      </w:pPr>
    </w:p>
    <w:p>
      <w:pPr>
        <w:spacing w:after="0" w:line="201" w:lineRule="exact"/>
        <w:rPr>
          <w:sz w:val="20"/>
          <w:szCs w:val="20"/>
          <w:color w:val="auto"/>
        </w:rPr>
      </w:pPr>
    </w:p>
    <w:p>
      <w:pPr>
        <w:ind w:left="300" w:right="339" w:firstLine="441"/>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Christian Waage </w:t>
      </w:r>
      <w:r>
        <w:rPr>
          <w:rFonts w:ascii="Times New Roman" w:cs="Times New Roman" w:eastAsia="Times New Roman" w:hAnsi="Times New Roman"/>
          <w:sz w:val="17"/>
          <w:szCs w:val="17"/>
          <w:color w:val="auto"/>
        </w:rPr>
        <w:t>has served as a director of Heron since 2016. Mr. Waage has more than 15 years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regulatory, legal and financial transaction experience primarily in the biotechnology industry. Since 2017, he has served as Executive Vice President and General Counsel of Gossamer Bio, Inc., a publicly traded biotechnology company. From 2013 to 2016, Mr. Waage held various positions at Receptos, Inc., a wholly owned subsidiary of Celgene Corporation, most recently serving as Managing Director. Prior to its acquisition by Celgene Corporation in 2015, he served as Senior Vice President and General Counsel of Receptos, Inc. From 2012 through its acquisition by Vista Equity Partners Management, LLC in 2013, Mr. Waage served as Vice President, General Counsel and Corporate Secretary at Websense, Inc. From 2008 through its acquisition by AstraZeneca PLC in 2012, he served as Vice President, General Counsel and Corporate Secretary of Ardea Biosciences, Inc. Prior to 2008, Mr. Waage served as a partner at DLA Piper LLP. He received a J.D. from the University of San Diego School of Law and a B.A. degree in economics from the University of California, San Diego. The Board has concluded that Mr. Waage should serve as a director based on his experience in regulatory, legal and finance matters.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EXECUTIVE OFFICERS AND KEY EMPLOYEES</w:t>
      </w:r>
    </w:p>
    <w:p>
      <w:pPr>
        <w:spacing w:after="0" w:line="229" w:lineRule="exact"/>
        <w:rPr>
          <w:sz w:val="20"/>
          <w:szCs w:val="20"/>
          <w:color w:val="auto"/>
        </w:rPr>
      </w:pPr>
    </w:p>
    <w:p>
      <w:pPr>
        <w:ind w:left="300" w:right="699" w:firstLine="441"/>
        <w:spacing w:after="0" w:line="282" w:lineRule="auto"/>
        <w:rPr>
          <w:sz w:val="20"/>
          <w:szCs w:val="20"/>
          <w:color w:val="auto"/>
        </w:rPr>
      </w:pPr>
      <w:r>
        <w:rPr>
          <w:rFonts w:ascii="Times New Roman" w:cs="Times New Roman" w:eastAsia="Times New Roman" w:hAnsi="Times New Roman"/>
          <w:sz w:val="18"/>
          <w:szCs w:val="18"/>
          <w:color w:val="auto"/>
        </w:rPr>
        <w:t>Executive officers are elected by our Board and hold office until the earlier of resignation, removal or the appointment and election of a successor.</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executive officers and their ages and positions as of May 1, 2023 are as follows: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245"/>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r>
      <w:tr>
        <w:trPr>
          <w:trHeight w:val="243"/>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Craig Collard</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CFF0FC"/>
          </w:tcPr>
          <w:p>
            <w:pPr>
              <w:spacing w:after="0"/>
              <w:rPr>
                <w:sz w:val="21"/>
                <w:szCs w:val="21"/>
                <w:color w:val="auto"/>
              </w:rPr>
            </w:pPr>
          </w:p>
        </w:tc>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80" w:type="dxa"/>
            <w:vAlign w:val="bottom"/>
            <w:shd w:val="clear" w:color="auto" w:fill="CFF0FC"/>
          </w:tcPr>
          <w:p>
            <w:pPr>
              <w:spacing w:after="0"/>
              <w:rPr>
                <w:sz w:val="21"/>
                <w:szCs w:val="2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9"/>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Kimberly Manhard</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Drug Development</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47"/>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Szekeres</w:t>
            </w:r>
          </w:p>
        </w:tc>
        <w:tc>
          <w:tcPr>
            <w:tcW w:w="5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FF0FC"/>
          </w:tcPr>
          <w:p>
            <w:pPr>
              <w:spacing w:after="0"/>
              <w:rPr>
                <w:sz w:val="21"/>
                <w:szCs w:val="21"/>
                <w:color w:val="auto"/>
              </w:rPr>
            </w:pPr>
          </w:p>
        </w:tc>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c>
          <w:tcPr>
            <w:tcW w:w="10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Lisa Peraza</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Accounting Officer</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bl>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background of Mr. Collard is described above under “Information Concerning the Board of Directors.”</w:t>
      </w:r>
    </w:p>
    <w:p>
      <w:pPr>
        <w:spacing w:after="0" w:line="223" w:lineRule="exact"/>
        <w:rPr>
          <w:sz w:val="20"/>
          <w:szCs w:val="20"/>
          <w:color w:val="auto"/>
        </w:rPr>
      </w:pPr>
    </w:p>
    <w:p>
      <w:pPr>
        <w:ind w:left="300" w:right="31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Kimberly Manhard </w:t>
      </w:r>
      <w:r>
        <w:rPr>
          <w:rFonts w:ascii="Times New Roman" w:cs="Times New Roman" w:eastAsia="Times New Roman" w:hAnsi="Times New Roman"/>
          <w:sz w:val="18"/>
          <w:szCs w:val="18"/>
          <w:color w:val="auto"/>
        </w:rPr>
        <w:t>has served as our Executive Vice President, Drug Development since 2016, and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director in 2014 and 2015 and again from 2019 to February 2023. Ms. Manhard has more than 25 years of experience in drug development, regulatory affairs and pharmaceutical operations. From 2008 to 2016, she served as the Senior Vice President of Regulatory Affairs and Development Operations at Ardea Biosciences, Inc. In her role at Ardea, Ms. Manhard was instrumental in the development and 2015 regulatory approval of Zurampic</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(lesinurad). Prior to joining Ardea in 2006, she was President of her own consultancy firm, Vice President of Regulatory Affairs for Exelixis, Inc. and held multiple regulatory positions at Agouron Pharmaceuticals, Inc., a division of the Warner-Lambert Company, supporting development and commercialization of anticancer and antiviral products, including Viracept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(nelfinavir). Ms. Manhard was also previously with Bristol-Myers Squibb Company in regulatory affairs, responsible for oncology compounds, including Taxol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(paclitaxel) and infectious disease compounds, including Videx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(didanosine) and Zerit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(stavudine). She began her career in clinical research with Eli Lilly and Company and G.H. Besselaar Associates (Covance Inc.). Since 2020, Ms. Manhard has also served as a director of InhibRx, Inc., which is focused on the research and development of new treatments for cancer. Ms. Manhard is a member of the board of trustees for the Fleet Science Center. She received a B.S. degree in zoology and a B.A. degree in French from the University of Florida.</w:t>
      </w:r>
    </w:p>
    <w:p>
      <w:pPr>
        <w:spacing w:after="0" w:line="196" w:lineRule="exact"/>
        <w:rPr>
          <w:sz w:val="20"/>
          <w:szCs w:val="20"/>
          <w:color w:val="auto"/>
        </w:rPr>
      </w:pPr>
    </w:p>
    <w:p>
      <w:pPr>
        <w:ind w:left="300" w:right="31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David Szekeres </w:t>
      </w:r>
      <w:r>
        <w:rPr>
          <w:rFonts w:ascii="Times New Roman" w:cs="Times New Roman" w:eastAsia="Times New Roman" w:hAnsi="Times New Roman"/>
          <w:sz w:val="18"/>
          <w:szCs w:val="18"/>
          <w:color w:val="auto"/>
        </w:rPr>
        <w:t>joined Heron as Senior Vice President, General Counsel, Business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Secretary in 2016. Mr. Szekeres was promoted to Chief Legal, Business and Administrative Officer in 2019 and was promoted to Executive Vice President, Chief Operating Officer in October 2020. Mr. Szekeres has more than 20 years of legal and financial experience, primarily in the biotechnology industry. From 2014 to 2015, he served as General Counsel, Chief Business Officer, Principal Financial and Accounting Officer and Corporate Secretary at Regulus Therapeutics Inc. In that role, Mr. Szekeres oversaw the company’s business, financial and legal responsibilities as it developed into a clinical-stage corporation. From 2008 through its acquisition by Thermo Fisher Scientific, Inc. in 2014, he served as Head of Mergers and Acquisitions, Governance and Securities and Assistant Corporate Secretary at Life Technologies Corporation. From 2001 to 2006, Mr. Szekeres served as Corporate Attorney at a number of law firms, including O’Melveny &amp; Myers LLP and Latham &amp; Watkins LLP. Prior to 2001, he served as Senior Associate in Investment Banking at Robertson Stephens. Since April 2023, Mr. Szekeres has served as Chairman of the Board of Directors and Chairman of the Audit Committee of GRI Bio, Inc., a biotechnology company advancing an innovative pipeline of Natural Killer T cell modulators for the treatment of inflammatory, fibrotic and autoimmune diseases. Mr. Szekeres is also a member of the board of trustees for the Sanford Burnham Prebys Medical Institute. He received a B.A. degree from the University of California, Irvine and a J.D. degree from Duke University School of Law.</w:t>
      </w:r>
    </w:p>
    <w:p>
      <w:pPr>
        <w:spacing w:after="0" w:line="195" w:lineRule="exact"/>
        <w:rPr>
          <w:sz w:val="20"/>
          <w:szCs w:val="20"/>
          <w:color w:val="auto"/>
        </w:rPr>
      </w:pPr>
    </w:p>
    <w:p>
      <w:pPr>
        <w:ind w:left="300" w:right="39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Lisa Peraza </w:t>
      </w:r>
      <w:r>
        <w:rPr>
          <w:rFonts w:ascii="Times New Roman" w:cs="Times New Roman" w:eastAsia="Times New Roman" w:hAnsi="Times New Roman"/>
          <w:sz w:val="18"/>
          <w:szCs w:val="18"/>
          <w:color w:val="1E1E1E"/>
        </w:rPr>
        <w:t>joined Heron as Senior Director, Controller in 2014. Ms. Peraza was promoted to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1E1E1E"/>
        </w:rPr>
        <w:t xml:space="preserve">Controller in 2019 and promoted to Vice President, Chief Accounting Officer in </w:t>
      </w:r>
      <w:r>
        <w:rPr>
          <w:rFonts w:ascii="Times New Roman" w:cs="Times New Roman" w:eastAsia="Times New Roman" w:hAnsi="Times New Roman"/>
          <w:sz w:val="18"/>
          <w:szCs w:val="18"/>
          <w:color w:val="000000"/>
        </w:rPr>
        <w:t>October</w:t>
      </w:r>
      <w:r>
        <w:rPr>
          <w:rFonts w:ascii="Times New Roman" w:cs="Times New Roman" w:eastAsia="Times New Roman" w:hAnsi="Times New Roman"/>
          <w:sz w:val="18"/>
          <w:szCs w:val="18"/>
          <w:color w:val="1E1E1E"/>
        </w:rPr>
        <w:t xml:space="preserve"> 2020. She has more than 20 years of finance and accounting experience, primarily in the biotechnology industry. From June 2008 to March 2014, Ms. Peraza held key finance and accounting positions at Ardea Biosciences, Inc., most recently serving as Executive Director, Controller. From June 2001 to May 2008, she held key accounting positions at La Jolla Pharmaceutical Company. Ms. Peraza began her career with KPMG LLP. She received a B.A. degree from the University of California, Santa Barbara and is licensed as a C.P.A. in the State of California.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 w:name="page15"/>
    <w:bookmarkEnd w:id="14"/>
    <w:p>
      <w:pPr>
        <w:ind w:left="74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other key employees and their ages and positions as of May 1, 2023 are as follows: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Key</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Employee</w:t>
            </w:r>
          </w:p>
        </w:tc>
      </w:tr>
      <w:tr>
        <w:trPr>
          <w:trHeight w:val="245"/>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0" w:type="dxa"/>
            <w:vAlign w:val="bottom"/>
          </w:tcPr>
          <w:p>
            <w:pPr>
              <w:spacing w:after="0"/>
              <w:rPr>
                <w:sz w:val="21"/>
                <w:szCs w:val="21"/>
                <w:color w:val="auto"/>
              </w:rPr>
            </w:pP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r>
      <w:tr>
        <w:trPr>
          <w:trHeight w:val="211"/>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Thomas Ottoboni, Ph.D.</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shd w:val="clear" w:color="auto" w:fill="CFF0FC"/>
          </w:tcPr>
          <w:p>
            <w:pPr>
              <w:spacing w:after="0"/>
              <w:rPr>
                <w:sz w:val="18"/>
                <w:szCs w:val="18"/>
                <w:color w:val="auto"/>
              </w:rPr>
            </w:pPr>
          </w:p>
        </w:tc>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Scientific Officer and Senior Vice President,</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r>
      <w:tr>
        <w:trPr>
          <w:trHeight w:val="248"/>
        </w:trPr>
        <w:tc>
          <w:tcPr>
            <w:tcW w:w="2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Pharmaceutical and Translational Sciences</w:t>
            </w: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9"/>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Chris Storgard, M.D.</w:t>
            </w:r>
          </w:p>
        </w:tc>
        <w:tc>
          <w:tcPr>
            <w:tcW w:w="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47"/>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Sean Ristine</w:t>
            </w:r>
          </w:p>
        </w:tc>
        <w:tc>
          <w:tcPr>
            <w:tcW w:w="5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shd w:val="clear" w:color="auto" w:fill="CFF0FC"/>
          </w:tcPr>
          <w:p>
            <w:pPr>
              <w:spacing w:after="0"/>
              <w:rPr>
                <w:sz w:val="21"/>
                <w:szCs w:val="21"/>
                <w:color w:val="auto"/>
              </w:rPr>
            </w:pPr>
          </w:p>
        </w:tc>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Vice President, Human Resources</w:t>
            </w:r>
          </w:p>
        </w:tc>
        <w:tc>
          <w:tcPr>
            <w:tcW w:w="10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11"/>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Robert Sullivan</w:t>
            </w:r>
          </w:p>
        </w:tc>
        <w:tc>
          <w:tcPr>
            <w:tcW w:w="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Oncology Care Franchise and</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41"/>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Operations</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0"/>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Arthur, Ph.D.</w:t>
            </w:r>
          </w:p>
        </w:tc>
        <w:tc>
          <w:tcPr>
            <w:tcW w:w="5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shd w:val="clear" w:color="auto" w:fill="CFF0FC"/>
          </w:tcPr>
          <w:p>
            <w:pPr>
              <w:spacing w:after="0"/>
              <w:rPr>
                <w:sz w:val="21"/>
                <w:szCs w:val="21"/>
                <w:color w:val="auto"/>
              </w:rPr>
            </w:pPr>
          </w:p>
        </w:tc>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Manufacturing and Supply</w:t>
            </w:r>
          </w:p>
        </w:tc>
        <w:tc>
          <w:tcPr>
            <w:tcW w:w="10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39"/>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Laura Singer</w:t>
            </w:r>
          </w:p>
        </w:tc>
        <w:tc>
          <w:tcPr>
            <w:tcW w:w="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Quality Assurance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47"/>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Jason Grillot</w:t>
            </w:r>
          </w:p>
        </w:tc>
        <w:tc>
          <w:tcPr>
            <w:tcW w:w="5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shd w:val="clear" w:color="auto" w:fill="CFF0FC"/>
          </w:tcPr>
          <w:p>
            <w:pPr>
              <w:spacing w:after="0"/>
              <w:rPr>
                <w:sz w:val="21"/>
                <w:szCs w:val="21"/>
                <w:color w:val="auto"/>
              </w:rPr>
            </w:pPr>
          </w:p>
        </w:tc>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Sales and Marketing, Acute Care</w:t>
            </w:r>
          </w:p>
        </w:tc>
        <w:tc>
          <w:tcPr>
            <w:tcW w:w="10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bl>
    <w:p>
      <w:pPr>
        <w:spacing w:after="0" w:line="196" w:lineRule="exact"/>
        <w:rPr>
          <w:sz w:val="20"/>
          <w:szCs w:val="20"/>
          <w:color w:val="auto"/>
        </w:rPr>
      </w:pPr>
    </w:p>
    <w:p>
      <w:pPr>
        <w:ind w:left="300" w:right="37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Thomas Ottoboni, Ph.D. </w:t>
      </w:r>
      <w:r>
        <w:rPr>
          <w:rFonts w:ascii="Times New Roman" w:cs="Times New Roman" w:eastAsia="Times New Roman" w:hAnsi="Times New Roman"/>
          <w:sz w:val="18"/>
          <w:szCs w:val="18"/>
          <w:color w:val="auto"/>
        </w:rPr>
        <w:t>joined Heron as Vice President of Pharmaceutical Development in 2012.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Ottoboni was promoted to Senior Vice President of Pharmaceutical and Preclinical Research and Development in 2014 and promoted to Chief Scientific Officer and Senior Vice President of Pharmaceutical and Translational Sciences in 2019. He has more than 20 years of drug development experience. From 2010 until 2011, Dr. Ottoboni was Vice President of Research and Development at Talima Therapeutics, Inc., where he worked on the development of a drug delivery implant to treat onychomycosis. From 1996 to 2008, he served as Executive Vice President of Strategy and Operations at POINT Biomedical Corp., where he developed several imaging and drug delivery systems. From 1994 through 1996, Dr. Ottoboni served as Manager of Systems Development and Drug Delivery Research for InSite Vision Inc., where he developed ophthalmic pharmaceutical delivery systems. He previously served as Director of Drug Delivery at Vitaphore Corp. Dr. Ottoboni is an inventor on more than 20 U.S. patents in organic and macromolecular chemistry. He received a B.S. degree in chemistry and a Ph.D. in organic chemistry from the University of California, Berkeley.</w:t>
      </w:r>
    </w:p>
    <w:p>
      <w:pPr>
        <w:spacing w:after="0" w:line="190" w:lineRule="exact"/>
        <w:rPr>
          <w:sz w:val="20"/>
          <w:szCs w:val="20"/>
          <w:color w:val="auto"/>
        </w:rPr>
      </w:pPr>
    </w:p>
    <w:p>
      <w:pPr>
        <w:ind w:left="300" w:right="339" w:firstLine="441"/>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Chris Storgard, M.D. </w:t>
      </w:r>
      <w:r>
        <w:rPr>
          <w:rFonts w:ascii="Times New Roman" w:cs="Times New Roman" w:eastAsia="Times New Roman" w:hAnsi="Times New Roman"/>
          <w:sz w:val="18"/>
          <w:szCs w:val="18"/>
          <w:color w:val="auto"/>
        </w:rPr>
        <w:t>joined Heron as Senior Vice President, Clinical Development in 2018 and was promoted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Chief Medical Officer in 2019. Dr. Storgard has more than 25 years of experience in clinical research. From 2016 to 2018, he served as Chief Medical Officer at Fate Therapeutics. From 2013 to 2016, Dr. Storgard served as Vice President of Clinical Research and Development at Ardea Biosciences, Inc., leading the ZURAMPIC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global clinical program to successful U.S. and European regulatory approvals. He also held various senior leadership positions at Biogen-Idec Ltd. and Amgen Inc., leading biologic and small molecule development programs within inflammation and oncology. From 2001 to 2004, Dr. Storgard served as Senior Associate Consultant, Division of Rheumatology, and Assistant Professor and Member of the Molecular Medicine Program at the Mayo School of Medicine, Mayo Clinic in Minnesota. He received his B.S. degree in biology and his M.D. from the University of Saskatchewan. Dr. Storgard completed a fellowship in rheumatology at Scripps Clinic and Research Center, San Diego.</w:t>
      </w:r>
    </w:p>
    <w:p>
      <w:pPr>
        <w:spacing w:after="0" w:line="191"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i w:val="1"/>
          <w:iCs w:val="1"/>
          <w:color w:val="1E1E1E"/>
        </w:rPr>
        <w:t xml:space="preserve">Sean Ristine </w:t>
      </w:r>
      <w:r>
        <w:rPr>
          <w:rFonts w:ascii="Times New Roman" w:cs="Times New Roman" w:eastAsia="Times New Roman" w:hAnsi="Times New Roman"/>
          <w:sz w:val="18"/>
          <w:szCs w:val="18"/>
          <w:color w:val="1E1E1E"/>
        </w:rPr>
        <w:t>joined Heron as Senior Director of Human Resources in 2014 and was promoted to Vice</w:t>
      </w:r>
      <w:r>
        <w:rPr>
          <w:rFonts w:ascii="Times New Roman" w:cs="Times New Roman" w:eastAsia="Times New Roman" w:hAnsi="Times New Roman"/>
          <w:sz w:val="18"/>
          <w:szCs w:val="18"/>
          <w:i w:val="1"/>
          <w:iCs w:val="1"/>
          <w:color w:val="1E1E1E"/>
        </w:rPr>
        <w:t xml:space="preserve"> </w:t>
      </w:r>
      <w:r>
        <w:rPr>
          <w:rFonts w:ascii="Times New Roman" w:cs="Times New Roman" w:eastAsia="Times New Roman" w:hAnsi="Times New Roman"/>
          <w:sz w:val="18"/>
          <w:szCs w:val="18"/>
          <w:color w:val="1E1E1E"/>
        </w:rPr>
        <w:t>President of Human Resources in 2015 and to Senior Vice President in 2021. Mr. Ristine has more than 20 years of experience in human resources and business leadership. From 2009 to 2014, he held key Human Resources positions at Cadence Pharmaceuticals, Inc., most recently serving as Senior Director of Human Resources where he was instrumental in growing Cadence to a commercial-stage company with more than 200 employees located throughout the U.S. From 2004 to 2009, Mr. Ristine held Human Resources management roles of increasing responsibility at Kyocera Wireless Corp., including Director of Human Resources and Facilities. From 1995 to 2004, he held positions at Kyocera America, Inc., including Manager of Human Resources. Mr. Ristine received a B.S. degree in Business and Organization Behavior from Brigham Young University and an M.B.A. degree with an emphasis in Human Resource Management from San Diego State University.</w:t>
      </w:r>
    </w:p>
    <w:p>
      <w:pPr>
        <w:spacing w:after="0" w:line="185" w:lineRule="exact"/>
        <w:rPr>
          <w:sz w:val="20"/>
          <w:szCs w:val="20"/>
          <w:color w:val="auto"/>
        </w:rPr>
      </w:pPr>
    </w:p>
    <w:p>
      <w:pPr>
        <w:ind w:left="300" w:right="29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Robert Sullivan </w:t>
      </w:r>
      <w:r>
        <w:rPr>
          <w:rFonts w:ascii="Times New Roman" w:cs="Times New Roman" w:eastAsia="Times New Roman" w:hAnsi="Times New Roman"/>
          <w:sz w:val="18"/>
          <w:szCs w:val="18"/>
          <w:color w:val="auto"/>
        </w:rPr>
        <w:t>joined Heron as Senior Director, Oncology Commercial Operations in 2017. He was promoted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Vice President, Contracting and Commercial Operations in 2020, then to Senior Vice President, Oncology Care Franchise and Commercial Operations in 2023. Mr. Sullivan has more than 20 years of experience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 w:name="page16"/>
    <w:bookmarkEnd w:id="15"/>
    <w:p>
      <w:pPr>
        <w:ind w:left="300" w:right="379"/>
        <w:spacing w:after="0" w:line="261" w:lineRule="auto"/>
        <w:rPr>
          <w:sz w:val="20"/>
          <w:szCs w:val="20"/>
          <w:color w:val="auto"/>
        </w:rPr>
      </w:pPr>
      <w:r>
        <w:rPr>
          <w:rFonts w:ascii="Times New Roman" w:cs="Times New Roman" w:eastAsia="Times New Roman" w:hAnsi="Times New Roman"/>
          <w:sz w:val="18"/>
          <w:szCs w:val="18"/>
          <w:color w:val="auto"/>
        </w:rPr>
        <w:t>serving in various leadership positions in Sales, Operations and Market Access with biotechnology companies and group purchasing organizations. From 2007 to 2017, Mr. Sullivan held various positions of increasing responsibility with the International Oncology Network (ION), a division of AmerisourceBergen. He received a B.S. degree in business administration, management from Towson University.</w:t>
      </w:r>
    </w:p>
    <w:p>
      <w:pPr>
        <w:spacing w:after="0" w:line="178" w:lineRule="exact"/>
        <w:rPr>
          <w:sz w:val="20"/>
          <w:szCs w:val="20"/>
          <w:color w:val="auto"/>
        </w:rPr>
      </w:pPr>
    </w:p>
    <w:p>
      <w:pPr>
        <w:ind w:left="300" w:right="339" w:firstLine="441"/>
        <w:spacing w:after="0" w:line="254" w:lineRule="auto"/>
        <w:rPr>
          <w:sz w:val="20"/>
          <w:szCs w:val="20"/>
          <w:color w:val="auto"/>
        </w:rPr>
      </w:pPr>
      <w:r>
        <w:rPr>
          <w:rFonts w:ascii="Times New Roman" w:cs="Times New Roman" w:eastAsia="Times New Roman" w:hAnsi="Times New Roman"/>
          <w:sz w:val="18"/>
          <w:szCs w:val="18"/>
          <w:i w:val="1"/>
          <w:iCs w:val="1"/>
          <w:color w:val="1E1E1E"/>
        </w:rPr>
        <w:t xml:space="preserve">John Arthur, Ph.D. </w:t>
      </w:r>
      <w:r>
        <w:rPr>
          <w:rFonts w:ascii="Times New Roman" w:cs="Times New Roman" w:eastAsia="Times New Roman" w:hAnsi="Times New Roman"/>
          <w:sz w:val="18"/>
          <w:szCs w:val="18"/>
          <w:color w:val="1E1E1E"/>
        </w:rPr>
        <w:t>joined Heron as Vice President of Manufacturing and Supply in 2017. Dr. Arthur has more</w:t>
      </w:r>
      <w:r>
        <w:rPr>
          <w:rFonts w:ascii="Times New Roman" w:cs="Times New Roman" w:eastAsia="Times New Roman" w:hAnsi="Times New Roman"/>
          <w:sz w:val="18"/>
          <w:szCs w:val="18"/>
          <w:i w:val="1"/>
          <w:iCs w:val="1"/>
          <w:color w:val="1E1E1E"/>
        </w:rPr>
        <w:t xml:space="preserve"> </w:t>
      </w:r>
      <w:r>
        <w:rPr>
          <w:rFonts w:ascii="Times New Roman" w:cs="Times New Roman" w:eastAsia="Times New Roman" w:hAnsi="Times New Roman"/>
          <w:sz w:val="18"/>
          <w:szCs w:val="18"/>
          <w:color w:val="1E1E1E"/>
        </w:rPr>
        <w:t>than 20 years of experience in pharmaceutical manufacturing. From 2013 to 2016, he was Vice President of Manufacturing and CMC at Mast Therapeutics, Inc., where he led all CMC activities for multiple Phase 2 and Phase 3 clinical programs. From 2012 to 2013, Dr. Arthur was Senior Director of Manufacturing at Auspex Pharmaceuticals, Inc. Prior to his role at Auspex, he held several positions of increasing responsibility at various biopharmaceutical companies, including Cadence Pharmaceuticals, Inc., Kanisa Pharmaceuticals, Inc., Salmedix, Inc., Prometheus Laboratories Inc., Maxim Pharmaceuticals, Inc. and Ionis Pharmaceuticals, Inc. Dr. Arthur received a B.S. in Biochemistry from Western Washington University, a Ph.D. in organic chemistry from the University of South Carolina, Columbia and conducted his postdoctoral research at Michigan State University.</w:t>
      </w:r>
    </w:p>
    <w:p>
      <w:pPr>
        <w:spacing w:after="0" w:line="188"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Laura Singer </w:t>
      </w:r>
      <w:r>
        <w:rPr>
          <w:rFonts w:ascii="Times New Roman" w:cs="Times New Roman" w:eastAsia="Times New Roman" w:hAnsi="Times New Roman"/>
          <w:sz w:val="18"/>
          <w:szCs w:val="18"/>
          <w:color w:val="auto"/>
        </w:rPr>
        <w:t>joined Heron as Vice President of Quality Assurance in 2019 and has responsibility for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&amp; Compliance. She has more than 25 years of experience in the pharmaceutical and biotechnology industries, including rare disease and orphan drugs, specialty pharmaceuticals, medical devices and combination products. Ms. Singer was previously Vice President, Global Quality at Amicus Therapeutics, Inc., where she was responsible for Quality Assurance/Quality Control operations and systems and Global Quality strategy for small molecule and biologics programs. Previously, Ms. Singer held key Quality positions at both NPS Pharmaceuticals, Inc. (prior to its acquisition by Shire plc) and Meda Pharmaceuticals Inc., and contract manufacturing and operations roles at Bristol-Myers Squibb Company and DuPont Pharmaceuticals. Ms. Singer received a B.S. degree in Chemistry from St. Johns University, Flushing, New York.</w:t>
      </w:r>
    </w:p>
    <w:p>
      <w:pPr>
        <w:spacing w:after="0" w:line="188" w:lineRule="exact"/>
        <w:rPr>
          <w:sz w:val="20"/>
          <w:szCs w:val="20"/>
          <w:color w:val="auto"/>
        </w:rPr>
      </w:pPr>
    </w:p>
    <w:p>
      <w:pPr>
        <w:ind w:left="300" w:right="339" w:firstLine="441"/>
        <w:spacing w:after="0" w:line="246" w:lineRule="auto"/>
        <w:rPr>
          <w:sz w:val="20"/>
          <w:szCs w:val="20"/>
          <w:color w:val="auto"/>
        </w:rPr>
      </w:pPr>
      <w:r>
        <w:rPr>
          <w:rFonts w:ascii="Times New Roman" w:cs="Times New Roman" w:eastAsia="Times New Roman" w:hAnsi="Times New Roman"/>
          <w:sz w:val="18"/>
          <w:szCs w:val="18"/>
          <w:i w:val="1"/>
          <w:iCs w:val="1"/>
          <w:color w:val="1E1E1E"/>
        </w:rPr>
        <w:t xml:space="preserve">Jason Grillot </w:t>
      </w:r>
      <w:r>
        <w:rPr>
          <w:rFonts w:ascii="Times New Roman" w:cs="Times New Roman" w:eastAsia="Times New Roman" w:hAnsi="Times New Roman"/>
          <w:sz w:val="18"/>
          <w:szCs w:val="18"/>
          <w:color w:val="1E1E1E"/>
        </w:rPr>
        <w:t>joined Heron as Vice President, Sales and Marketing, Acute Care in April 2023. Mr. Grillot has</w:t>
      </w:r>
      <w:r>
        <w:rPr>
          <w:rFonts w:ascii="Times New Roman" w:cs="Times New Roman" w:eastAsia="Times New Roman" w:hAnsi="Times New Roman"/>
          <w:sz w:val="18"/>
          <w:szCs w:val="18"/>
          <w:i w:val="1"/>
          <w:iCs w:val="1"/>
          <w:color w:val="1E1E1E"/>
        </w:rPr>
        <w:t xml:space="preserve"> </w:t>
      </w:r>
      <w:r>
        <w:rPr>
          <w:rFonts w:ascii="Times New Roman" w:cs="Times New Roman" w:eastAsia="Times New Roman" w:hAnsi="Times New Roman"/>
          <w:sz w:val="18"/>
          <w:szCs w:val="18"/>
          <w:color w:val="1E1E1E"/>
        </w:rPr>
        <w:t>more than 20 years of experience in the pharmaceutical industry. Prior to joining Heron, Mr. Grillot served on the leadership team at CHIESI USA, Inc. (“</w:t>
      </w:r>
      <w:r>
        <w:rPr>
          <w:rFonts w:ascii="Times New Roman" w:cs="Times New Roman" w:eastAsia="Times New Roman" w:hAnsi="Times New Roman"/>
          <w:sz w:val="18"/>
          <w:szCs w:val="18"/>
          <w:b w:val="1"/>
          <w:bCs w:val="1"/>
          <w:i w:val="1"/>
          <w:iCs w:val="1"/>
          <w:color w:val="1E1E1E"/>
        </w:rPr>
        <w:t>Chiesi</w:t>
      </w:r>
      <w:r>
        <w:rPr>
          <w:rFonts w:ascii="Times New Roman" w:cs="Times New Roman" w:eastAsia="Times New Roman" w:hAnsi="Times New Roman"/>
          <w:sz w:val="18"/>
          <w:szCs w:val="18"/>
          <w:color w:val="1E1E1E"/>
        </w:rPr>
        <w:t>”) as Sr. Director of Business Operations. From 2017 to 2022, he served as National Sales Director at Chiesi and secured over 90% market share for Chiesi’s flagship product, CUROSURF</w:t>
      </w:r>
      <w:r>
        <w:rPr>
          <w:rFonts w:ascii="Times New Roman" w:cs="Times New Roman" w:eastAsia="Times New Roman" w:hAnsi="Times New Roman"/>
          <w:sz w:val="24"/>
          <w:szCs w:val="24"/>
          <w:color w:val="1E1E1E"/>
          <w:vertAlign w:val="superscript"/>
        </w:rPr>
        <w:t>®</w:t>
      </w:r>
      <w:r>
        <w:rPr>
          <w:rFonts w:ascii="Times New Roman" w:cs="Times New Roman" w:eastAsia="Times New Roman" w:hAnsi="Times New Roman"/>
          <w:sz w:val="18"/>
          <w:szCs w:val="18"/>
          <w:color w:val="1E1E1E"/>
        </w:rPr>
        <w:t>. From 2013 to 2017, Mr. Grillot served as Director of National Accounts for Chiesi, leading contracting strategies for all of Chiesi’s products and launched drugs in neonatology, respiratory, allergy and asthma, cystic fibrosis, emergency medicine and psychiatry. From 2009 to 2013, he served as Area Sales Manager, Institutional for Chiesi. Prior to joining Chiesi, Mr. Grillot held management roles of increasing responsibility at Dey, L.P. Mr. Grillot received a B.S. degree in Clinical Nutrition from the University of Kentucky.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left="300" w:right="339" w:firstLine="441"/>
        <w:spacing w:after="0" w:line="261" w:lineRule="auto"/>
        <w:rPr>
          <w:sz w:val="20"/>
          <w:szCs w:val="20"/>
          <w:color w:val="auto"/>
        </w:rPr>
      </w:pPr>
      <w:r>
        <w:rPr>
          <w:rFonts w:ascii="Times New Roman" w:cs="Times New Roman" w:eastAsia="Times New Roman" w:hAnsi="Times New Roman"/>
          <w:sz w:val="18"/>
          <w:szCs w:val="18"/>
          <w:color w:val="auto"/>
        </w:rPr>
        <w:t>Our Board met 9 times during the year ended December 31, 2022. Each then-serving director attended 75% or more of the meetings of the Board and of each committee on which he or she served during 2022. We have a policy of encouraging all directors to attend the Annual Meeting; five of the seven then-serving directors attended the 2022 Annual Meeting of Stockholders.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21" w:lineRule="exact"/>
        <w:rPr>
          <w:sz w:val="20"/>
          <w:szCs w:val="20"/>
          <w:color w:val="auto"/>
        </w:rPr>
      </w:pPr>
    </w:p>
    <w:p>
      <w:pPr>
        <w:ind w:left="300" w:right="499" w:firstLine="441"/>
        <w:spacing w:after="0" w:line="254" w:lineRule="auto"/>
        <w:rPr>
          <w:sz w:val="20"/>
          <w:szCs w:val="20"/>
          <w:color w:val="auto"/>
        </w:rPr>
      </w:pPr>
      <w:r>
        <w:rPr>
          <w:rFonts w:ascii="Times New Roman" w:cs="Times New Roman" w:eastAsia="Times New Roman" w:hAnsi="Times New Roman"/>
          <w:sz w:val="18"/>
          <w:szCs w:val="18"/>
          <w:color w:val="auto"/>
        </w:rPr>
        <w:t>On an annual basis, the Board reviews the independence of all directors in light of each director’s (or any family member’s, if applicable) affiliations with the Company and members of management, as well as significant holdings of the Company’s securities. The Board uses the definition of independence from The Nasdaq Stock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listing standards to assess independence of our directors. Our Board has determined that all Board members, other than Mr. Collard, are “independent directors” as defined by Nasdaq rules. Mr. Collard was deemed not to be independent under Nasdaq Rules by virtue of his role as our Chief Executive Officer. Similarly, Dr. Quart, our former Chief Executive Officer and former Chairman of the Board, was not deemed to be independent under Nasdaq rules by virtue of his role as our former Chief Executive Officer.</w:t>
      </w:r>
    </w:p>
    <w:p>
      <w:pPr>
        <w:spacing w:after="0" w:line="1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The Board has a standing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Compensation Committee (the</w:t>
      </w:r>
    </w:p>
    <w:p>
      <w:pPr>
        <w:spacing w:after="0" w:line="31" w:lineRule="exact"/>
        <w:rPr>
          <w:sz w:val="20"/>
          <w:szCs w:val="20"/>
          <w:color w:val="auto"/>
        </w:rPr>
      </w:pPr>
    </w:p>
    <w:p>
      <w:pPr>
        <w:ind w:left="300" w:right="57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and Nominating and Governance Committee (the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The Board has determined that all committee members are independent under applicable Nasdaq and SEC rules for committee memberships, and that each member of the Audit Committee also meets the additional independence criteria set forth in Rule 10A-3(b)(1) under the Exchange Act.</w:t>
      </w:r>
    </w:p>
    <w:p>
      <w:pPr>
        <w:spacing w:after="0" w:line="189" w:lineRule="exact"/>
        <w:rPr>
          <w:sz w:val="20"/>
          <w:szCs w:val="20"/>
          <w:color w:val="auto"/>
        </w:rPr>
      </w:pPr>
    </w:p>
    <w:p>
      <w:pPr>
        <w:ind w:left="300" w:right="379" w:firstLine="441"/>
        <w:spacing w:after="0" w:line="254" w:lineRule="auto"/>
        <w:rPr>
          <w:sz w:val="20"/>
          <w:szCs w:val="20"/>
          <w:color w:val="auto"/>
        </w:rPr>
      </w:pPr>
      <w:r>
        <w:rPr>
          <w:rFonts w:ascii="Times New Roman" w:cs="Times New Roman" w:eastAsia="Times New Roman" w:hAnsi="Times New Roman"/>
          <w:sz w:val="18"/>
          <w:szCs w:val="18"/>
          <w:color w:val="auto"/>
        </w:rPr>
        <w:t>In addition to the Board-level standards for director independence, the directors who serve on the Audit Committee each satisfy standards established by Nasdaq and the SEC, as no member of the Audit Committee accepts directly or indirectly any consulting, advisory or other compensatory fee from the Company other than their director compensation, or otherwise has an affiliate relationship with the Company. Similarly, the members of the Compensation Committee each qualify as independent under Nasdaq standards. Under these standards, the Board considered that none of the members of the Compensation Committee accept directly or indirectly any consulting, advisory or other compensatory fee from the Company other than their director compensation, and that none have any affiliate relationships with the Company or other relationships that would impair the director’s judgment as a member of the Compensation Committee.</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19" w:lineRule="exact"/>
        <w:rPr>
          <w:sz w:val="20"/>
          <w:szCs w:val="20"/>
          <w:color w:val="auto"/>
        </w:rPr>
      </w:pPr>
    </w:p>
    <w:p>
      <w:pPr>
        <w:ind w:left="300" w:right="33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The Audit Committee is composed of three directors: Messrs. Johnson and Kotler and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Rodriguez. Mr. Johnson serves as the Chair of the Audit Committee. The Audit Committee is responsible for appointing, overseeing and replacing, if necessary, our independent registered public accounting firm and for evaluating its work. The Audit Committee also assists the Board in overseeing the integrity of our financial statements and accounting and financial reporting processes, compliance with legal and regulatory requirements, the independent registered public accounting firm’s qualifications and independence and the performance of the Company’s independent registered public accounting firm and internal audit function. During 2022, the Audit Committee received written disclosures from and communicated with the independent registered public accounting firm; met with management and the independent registered public accounting firm to discuss our financial statements; met with the independent registered public accounting firm to discuss matters that may affect our financial statements; approved related-party transactions, if any; provided oversight of risk management, including oversight of cybersecurity risks and risks related to environmental, social and governance matters; and approved professional services provided to us by the independent public accountants. The Audit Committee, together with the Board, was also responsible for reviewing our plans for providing appropriate financial resources to sustain our operations, including review of our strategic corporate plan and annual operating budget. The Board has determined that, during 2022, each then-serving member of the Audit Committee satisfied applicable independence standards promulgated by Nasdaq and the SEC, and the Board has determined that Mr. Johnson qualifies as an “audit committee financial expert” (as the SEC has defined such term in Item 407 of Regulation S-K). We have adopted an Audit Committee charter, which is available at </w:t>
      </w:r>
      <w:r>
        <w:rPr>
          <w:rFonts w:ascii="Times New Roman" w:cs="Times New Roman" w:eastAsia="Times New Roman" w:hAnsi="Times New Roman"/>
          <w:sz w:val="18"/>
          <w:szCs w:val="18"/>
          <w:i w:val="1"/>
          <w:iCs w:val="1"/>
          <w:color w:val="auto"/>
        </w:rPr>
        <w:t>www.herontx.com</w:t>
      </w:r>
      <w:r>
        <w:rPr>
          <w:rFonts w:ascii="Times New Roman" w:cs="Times New Roman" w:eastAsia="Times New Roman" w:hAnsi="Times New Roman"/>
          <w:sz w:val="18"/>
          <w:szCs w:val="18"/>
          <w:color w:val="auto"/>
        </w:rPr>
        <w:t>. The Audit Committee met four times during the year ended December 31, 2022.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 w:name="page18"/>
    <w:bookmarkEnd w:id="17"/>
    <w:p>
      <w:pPr>
        <w:ind w:left="300" w:right="35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The Compensation Committee is composed of three directors: Messrs. Kotler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Waage and Ms. Rodriguez. Mr. Kotler serves as the Chair of the Compensation Committee. The Compensation Committee is responsible for overseeing the Company’s compensation philosophy generally and advising the Board regarding the compensation of the Board, the Chief Executive Officer, and the other executive officers of the Company. The Compensation Committee seeks to align our compensation practices with sound fiscal policy and enable the Company to attract and motivate qualified and highly skilled personnel, and is responsible for overseeing the Company’s management resources, succession planning, and management development activities. The Compensation Committee oversees the assessment of the risks related to the Company’s compensation policies and programs applicable to officers and employees, and regularly reports to the Board on the results of this assessment. In 2022, the Compensation Committee administered our benefit and equity incentive plans, and made recommendations to the Board regarding the review and administration of all compensation arrangements for executive officers (including the Chief Executive Officer) and the review and establishment of general policies relating to the compensation and benefits of our officers and employees for the year ended December 31, 2022. The Compensation Committee also reviewed and approved corporate goals for our executive officers and evaluated their performance in light of these goals, and reviewed and made recommendations to the Board regarding the compensation paid to the non-employee directors. Subject to applicable laws, the Compensation Committee may form and delegate authority to subcommittees, each consisting of one or more of its members, with such powers as the Compensation Committee confers. The Board has determined that, during 2022, each then-serving member of the Compensation Committee satisfied applicable independence standards promulgated by Nasdaq and the SEC. We have adopted a Compensation Committee charter, which is available at </w:t>
      </w:r>
      <w:r>
        <w:rPr>
          <w:rFonts w:ascii="Times New Roman" w:cs="Times New Roman" w:eastAsia="Times New Roman" w:hAnsi="Times New Roman"/>
          <w:sz w:val="18"/>
          <w:szCs w:val="18"/>
          <w:i w:val="1"/>
          <w:iCs w:val="1"/>
          <w:color w:val="auto"/>
        </w:rPr>
        <w:t>www.herontx.com</w:t>
      </w:r>
      <w:r>
        <w:rPr>
          <w:rFonts w:ascii="Times New Roman" w:cs="Times New Roman" w:eastAsia="Times New Roman" w:hAnsi="Times New Roman"/>
          <w:sz w:val="18"/>
          <w:szCs w:val="18"/>
          <w:color w:val="auto"/>
        </w:rPr>
        <w:t>. The Compensation Committee met 5 times during the year ended December 31, 2022.</w:t>
      </w:r>
    </w:p>
    <w:p>
      <w:pPr>
        <w:spacing w:after="0" w:line="188" w:lineRule="exact"/>
        <w:rPr>
          <w:sz w:val="20"/>
          <w:szCs w:val="20"/>
          <w:color w:val="auto"/>
        </w:rPr>
      </w:pPr>
    </w:p>
    <w:p>
      <w:pPr>
        <w:ind w:left="300" w:right="299"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Governance Committee. </w:t>
      </w:r>
      <w:r>
        <w:rPr>
          <w:rFonts w:ascii="Times New Roman" w:cs="Times New Roman" w:eastAsia="Times New Roman" w:hAnsi="Times New Roman"/>
          <w:sz w:val="18"/>
          <w:szCs w:val="18"/>
          <w:color w:val="auto"/>
        </w:rPr>
        <w:t>The Nominating and Corporate Governance Committee is composed of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directors: Mr. Waage, Dr. Dissanaike and Mr. Morgan. Mr. Waage serves as the Chair of the Governance Committee. The Governance Committee is responsible for setting a process for identifying and evaluating nominees, assessing the qualifications, contributions and independence of incumbent directors, and recommending a slate of director nominees to be proposed by the Board to the stockholders (or any director nominees to be elected by the Board to fill interim vacancies), consistent with the criteria approved by the Board. The Governance Committee also is responsible for establishing and maintaining a policy under which the Company’s stockholders may recommend a candidate to the Governance Committee for consideration for nomination as a director. Procedures for the consideration of director nominees recommended by stockholders are set forth below. In addition, the Governance Committee is responsible for overseeing succession planning for the Board and key leadership roles on the Board and its committees, as well as recommending directors for membership on Board committees. The Governance Committee also is responsible for reviewing and recommending updates to our Code of Ethics and Business Conduct as well as any written corporate governance guidelines. The Board has determined that, during 2022, all members of the Governance Committee satisfied applicable Nasdaq independence standards. We have adopted a Governance Committee charter, which is available at </w:t>
      </w:r>
      <w:r>
        <w:rPr>
          <w:rFonts w:ascii="Times New Roman" w:cs="Times New Roman" w:eastAsia="Times New Roman" w:hAnsi="Times New Roman"/>
          <w:sz w:val="18"/>
          <w:szCs w:val="18"/>
          <w:i w:val="1"/>
          <w:iCs w:val="1"/>
          <w:color w:val="auto"/>
        </w:rPr>
        <w:t>www.herontx.com</w:t>
      </w:r>
      <w:r>
        <w:rPr>
          <w:rFonts w:ascii="Times New Roman" w:cs="Times New Roman" w:eastAsia="Times New Roman" w:hAnsi="Times New Roman"/>
          <w:sz w:val="18"/>
          <w:szCs w:val="18"/>
          <w:color w:val="auto"/>
        </w:rPr>
        <w:t>. The Governance Committee met once during the year ended December 31, 2022.</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539" w:firstLine="441"/>
        <w:spacing w:after="0" w:line="255" w:lineRule="auto"/>
        <w:rPr>
          <w:sz w:val="20"/>
          <w:szCs w:val="20"/>
          <w:color w:val="auto"/>
        </w:rPr>
      </w:pPr>
      <w:r>
        <w:rPr>
          <w:rFonts w:ascii="Times New Roman" w:cs="Times New Roman" w:eastAsia="Times New Roman" w:hAnsi="Times New Roman"/>
          <w:sz w:val="18"/>
          <w:szCs w:val="18"/>
          <w:color w:val="auto"/>
        </w:rPr>
        <w:t>Our bylaws provide our Board with the flexibility to combine or separate the positions of Chairman of the Board and Chief Executive Officer to reflect the Company’s evolving needs and strategy, changes in our Board’s composition and leadership needs, as well as other factors, including the views of our stockholders and other stakeholders. Mr. Collard serves as our Chief Executive Officer, while Mr. Morgan serves as our Chairman of the Board. Our Board regularly reviews its leadership structure to evaluate whether the structure remains appropriate for the Company. Our Board has concluded that balance and varying experience and judgment are added to the leadership of the Board by having these two positions filled by different persons.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Nomination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Criteria for Board Membership</w:t>
      </w:r>
    </w:p>
    <w:p>
      <w:pPr>
        <w:spacing w:after="0" w:line="119" w:lineRule="exact"/>
        <w:rPr>
          <w:sz w:val="20"/>
          <w:szCs w:val="20"/>
          <w:color w:val="auto"/>
        </w:rPr>
      </w:pPr>
    </w:p>
    <w:p>
      <w:pPr>
        <w:ind w:left="300" w:right="319" w:firstLine="441"/>
        <w:spacing w:after="0" w:line="289" w:lineRule="auto"/>
        <w:rPr>
          <w:sz w:val="20"/>
          <w:szCs w:val="20"/>
          <w:color w:val="auto"/>
        </w:rPr>
      </w:pPr>
      <w:r>
        <w:rPr>
          <w:rFonts w:ascii="Times New Roman" w:cs="Times New Roman" w:eastAsia="Times New Roman" w:hAnsi="Times New Roman"/>
          <w:sz w:val="17"/>
          <w:szCs w:val="17"/>
          <w:color w:val="auto"/>
        </w:rPr>
        <w:t>The Governance Committee is responsible for assessing the appropriate balance of experience, skills and other characteristics required of our directors. Nominees for director are selected based on their experience, knowledge, integrity, understanding of our business environment, specific skills and perspectives they may possess that are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18" w:name="page19"/>
    <w:bookmarkEnd w:id="18"/>
    <w:p>
      <w:pPr>
        <w:ind w:left="300" w:right="339"/>
        <w:spacing w:after="0" w:line="253" w:lineRule="auto"/>
        <w:rPr>
          <w:sz w:val="20"/>
          <w:szCs w:val="20"/>
          <w:color w:val="auto"/>
        </w:rPr>
      </w:pPr>
      <w:r>
        <w:rPr>
          <w:rFonts w:ascii="Times New Roman" w:cs="Times New Roman" w:eastAsia="Times New Roman" w:hAnsi="Times New Roman"/>
          <w:sz w:val="18"/>
          <w:szCs w:val="18"/>
          <w:color w:val="auto"/>
        </w:rPr>
        <w:t>helpful to the Company and the willingness to devote adequate time to Board duties. The Governance Committee uses the same selection criteria regardless of whether the candidate has been recommended by a stockholder or identified by the Board. In selecting candidates to recommend to the Board for appointment or re-election to the Board, the Governance Committee considers the current composition of the Board and the attributes and capabilities of the current directors in order to achieve appropriate balance of experience, skills and other characteristics. The Governance Committee also considers potential independence under the rules of Nasdaq, with the additional objective that at least one director qualifies as an “audit committee financial expert” under the rules of the SEC. When evaluating a candidate for our Board, the Governance Committee does not assign specific weight to any of these factors, nor does the Governance Committee believe that all of the criteria must necessarily apply to every candidate. At minimum, a director’s qualifications and attributes, in light of the above-mentioned criteria, are considered each time the director is nominated or re-nominated for Board membership.</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Board Diversity</w:t>
      </w:r>
    </w:p>
    <w:p>
      <w:pPr>
        <w:spacing w:after="0" w:line="119" w:lineRule="exact"/>
        <w:rPr>
          <w:sz w:val="20"/>
          <w:szCs w:val="20"/>
          <w:color w:val="auto"/>
        </w:rPr>
      </w:pPr>
    </w:p>
    <w:p>
      <w:pPr>
        <w:ind w:left="300" w:right="379" w:firstLine="441"/>
        <w:spacing w:after="0" w:line="255" w:lineRule="auto"/>
        <w:rPr>
          <w:sz w:val="20"/>
          <w:szCs w:val="20"/>
          <w:color w:val="auto"/>
        </w:rPr>
      </w:pPr>
      <w:r>
        <w:rPr>
          <w:rFonts w:ascii="Times New Roman" w:cs="Times New Roman" w:eastAsia="Times New Roman" w:hAnsi="Times New Roman"/>
          <w:sz w:val="18"/>
          <w:szCs w:val="18"/>
          <w:color w:val="auto"/>
        </w:rPr>
        <w:t>While we do not have a formal written policy regarding diversity in identifying director candidates, the Company believes that a Board comprising directors with diverse backgrounds, experiences, skills and perspectives contributes to overall Board effectiveness and improves Board decision making. The Governance Committee is committed to continuing to enhance the Board’s diversity by identifying potential director candidates with varied attributes and perspectives. Accordingly, the Governance Committee actively considers diversity in its development of the pool from which it identifies qualified director candidates who possess the experience and skills desired for our Board. The Governance Committee looks to incorporate diversity into the Board across a broad spectrum of factors, including race, ethnicity, gender, sexuality or membership in another underrepresented community, as well as skills, experiences, specific operational experience and viewpoints, all with a view to identify candidates that can assist the Board with the performance of is governance and oversight role, in light of the Company’s strategy and evolving needs. The Governance Committee believes that our current Board reflects a diverse mix of directors on a number of these factors. The Governance Committee evaluates the diversity of the Board as part of the annual nomination process and assesses the effectiveness of its approach to Board diversity as part of the Board and committee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197485</wp:posOffset>
            </wp:positionV>
            <wp:extent cx="5353050" cy="132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53050" cy="132715"/>
                    </a:xfrm>
                    <a:prstGeom prst="rect">
                      <a:avLst/>
                    </a:prstGeom>
                    <a:noFill/>
                  </pic:spPr>
                </pic:pic>
              </a:graphicData>
            </a:graphic>
          </wp:anchor>
        </w:drawing>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Board Diversity Matrix (as of April 20, 2023)</w:t>
      </w:r>
    </w:p>
    <w:p>
      <w:pPr>
        <w:spacing w:after="0" w:line="22" w:lineRule="exact"/>
        <w:rPr>
          <w:sz w:val="20"/>
          <w:szCs w:val="20"/>
          <w:color w:val="auto"/>
        </w:rPr>
      </w:pPr>
    </w:p>
    <w:tbl>
      <w:tblPr>
        <w:tblLayout w:type="fixed"/>
        <w:tblInd w:w="290" w:type="dxa"/>
        <w:tblCellMar>
          <w:top w:w="0" w:type="dxa"/>
          <w:left w:w="0" w:type="dxa"/>
          <w:bottom w:w="0" w:type="dxa"/>
          <w:right w:w="0" w:type="dxa"/>
        </w:tblCellMar>
      </w:tblPr>
      <w:tr>
        <w:trPr>
          <w:trHeight w:val="40"/>
        </w:trPr>
        <w:tc>
          <w:tcPr>
            <w:tcW w:w="4640" w:type="dxa"/>
            <w:vAlign w:val="bottom"/>
            <w:tcBorders>
              <w:top w:val="single" w:sz="8" w:color="auto"/>
              <w:left w:val="single" w:sz="8" w:color="auto"/>
              <w:right w:val="single" w:sz="8" w:color="auto"/>
            </w:tcBorders>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1520" w:type="dxa"/>
            <w:vAlign w:val="bottom"/>
            <w:tcBorders>
              <w:top w:val="single" w:sz="8" w:color="auto"/>
            </w:tcBorders>
            <w:shd w:val="clear" w:color="auto" w:fill="CFF0FC"/>
          </w:tcPr>
          <w:p>
            <w:pPr>
              <w:spacing w:after="0"/>
              <w:rPr>
                <w:sz w:val="3"/>
                <w:szCs w:val="3"/>
                <w:color w:val="auto"/>
              </w:rPr>
            </w:pPr>
          </w:p>
        </w:tc>
        <w:tc>
          <w:tcPr>
            <w:tcW w:w="2280" w:type="dxa"/>
            <w:vAlign w:val="bottom"/>
            <w:tcBorders>
              <w:top w:val="single" w:sz="8" w:color="auto"/>
              <w:right w:val="single" w:sz="8" w:color="auto"/>
            </w:tcBorders>
            <w:gridSpan w:val="2"/>
            <w:vMerge w:val="restart"/>
            <w:shd w:val="clear" w:color="auto" w:fill="CFF0FC"/>
          </w:tcPr>
          <w:p>
            <w:pPr>
              <w:jc w:val="right"/>
              <w:ind w:right="1808"/>
              <w:spacing w:after="0"/>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line="20" w:lineRule="exact"/>
              <w:rPr>
                <w:sz w:val="1"/>
                <w:szCs w:val="1"/>
                <w:color w:val="auto"/>
              </w:rPr>
            </w:pPr>
          </w:p>
        </w:tc>
      </w:tr>
      <w:tr>
        <w:trPr>
          <w:trHeight w:val="132"/>
        </w:trPr>
        <w:tc>
          <w:tcPr>
            <w:tcW w:w="4640" w:type="dxa"/>
            <w:vAlign w:val="bottom"/>
            <w:tcBorders>
              <w:left w:val="single" w:sz="8" w:color="auto"/>
              <w:bottom w:val="single" w:sz="8" w:color="auto"/>
              <w:right w:val="single" w:sz="8" w:color="auto"/>
            </w:tcBorders>
            <w:vMerge w:val="continue"/>
            <w:shd w:val="clear" w:color="auto" w:fill="CFF0FC"/>
          </w:tcPr>
          <w:p>
            <w:pPr>
              <w:spacing w:after="0"/>
              <w:rPr>
                <w:sz w:val="11"/>
                <w:szCs w:val="11"/>
                <w:color w:val="auto"/>
              </w:rPr>
            </w:pPr>
          </w:p>
        </w:tc>
        <w:tc>
          <w:tcPr>
            <w:tcW w:w="1520" w:type="dxa"/>
            <w:vAlign w:val="bottom"/>
            <w:tcBorders>
              <w:bottom w:val="single" w:sz="8" w:color="auto"/>
            </w:tcBorders>
            <w:shd w:val="clear" w:color="auto" w:fill="CFF0FC"/>
          </w:tcPr>
          <w:p>
            <w:pPr>
              <w:spacing w:after="0"/>
              <w:rPr>
                <w:sz w:val="11"/>
                <w:szCs w:val="11"/>
                <w:color w:val="auto"/>
              </w:rPr>
            </w:pPr>
          </w:p>
        </w:tc>
        <w:tc>
          <w:tcPr>
            <w:tcW w:w="2280" w:type="dxa"/>
            <w:vAlign w:val="bottom"/>
            <w:tcBorders>
              <w:bottom w:val="single" w:sz="8" w:color="auto"/>
              <w:right w:val="single" w:sz="8" w:color="auto"/>
            </w:tcBorders>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bottom w:val="single" w:sz="8" w:color="auto"/>
              <w:right w:val="single" w:sz="8" w:color="auto"/>
            </w:tcBorders>
          </w:tcPr>
          <w:p>
            <w:pPr>
              <w:spacing w:after="0"/>
              <w:rPr>
                <w:sz w:val="14"/>
                <w:szCs w:val="14"/>
                <w:color w:val="auto"/>
              </w:rPr>
            </w:pPr>
          </w:p>
        </w:tc>
        <w:tc>
          <w:tcPr>
            <w:tcW w:w="15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40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Male</w:t>
            </w: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bottom w:val="single" w:sz="8" w:color="auto"/>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152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right w:val="single" w:sz="8" w:color="CFF0FC"/>
            </w:tcBorders>
            <w:shd w:val="clear" w:color="auto" w:fill="CFF0FC"/>
          </w:tcPr>
          <w:p>
            <w:pPr>
              <w:spacing w:after="0"/>
              <w:rPr>
                <w:sz w:val="14"/>
                <w:szCs w:val="14"/>
                <w:color w:val="auto"/>
              </w:rPr>
            </w:pPr>
          </w:p>
        </w:tc>
        <w:tc>
          <w:tcPr>
            <w:tcW w:w="188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Directors</w:t>
            </w:r>
          </w:p>
        </w:tc>
        <w:tc>
          <w:tcPr>
            <w:tcW w:w="152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color w:val="auto"/>
                <w:w w:val="85"/>
              </w:rPr>
              <w:t>2</w:t>
            </w:r>
          </w:p>
        </w:tc>
        <w:tc>
          <w:tcPr>
            <w:tcW w:w="40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bottom w:val="single" w:sz="8" w:color="auto"/>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152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right w:val="single" w:sz="8" w:color="CFF0FC"/>
            </w:tcBorders>
            <w:shd w:val="clear" w:color="auto" w:fill="CFF0FC"/>
          </w:tcPr>
          <w:p>
            <w:pPr>
              <w:spacing w:after="0"/>
              <w:rPr>
                <w:sz w:val="14"/>
                <w:szCs w:val="14"/>
                <w:color w:val="auto"/>
              </w:rPr>
            </w:pPr>
          </w:p>
        </w:tc>
        <w:tc>
          <w:tcPr>
            <w:tcW w:w="188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Asian</w:t>
            </w:r>
          </w:p>
        </w:tc>
        <w:tc>
          <w:tcPr>
            <w:tcW w:w="152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color w:val="auto"/>
                <w:w w:val="85"/>
              </w:rPr>
              <w:t>1</w:t>
            </w:r>
          </w:p>
        </w:tc>
        <w:tc>
          <w:tcPr>
            <w:tcW w:w="40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Hispanic or Latinx</w:t>
            </w:r>
          </w:p>
        </w:tc>
        <w:tc>
          <w:tcPr>
            <w:tcW w:w="1520" w:type="dxa"/>
            <w:vAlign w:val="bottom"/>
            <w:tcBorders>
              <w:bottom w:val="single" w:sz="8" w:color="auto"/>
            </w:tcBorders>
            <w:shd w:val="clear" w:color="auto" w:fill="CFF0FC"/>
          </w:tcPr>
          <w:p>
            <w:pPr>
              <w:jc w:val="center"/>
              <w:ind w:left="308"/>
              <w:spacing w:after="0"/>
              <w:rPr>
                <w:sz w:val="20"/>
                <w:szCs w:val="20"/>
                <w:color w:val="auto"/>
              </w:rPr>
            </w:pPr>
            <w:r>
              <w:rPr>
                <w:rFonts w:ascii="Times New Roman" w:cs="Times New Roman" w:eastAsia="Times New Roman" w:hAnsi="Times New Roman"/>
                <w:sz w:val="14"/>
                <w:szCs w:val="14"/>
                <w:color w:val="auto"/>
                <w:w w:val="85"/>
              </w:rPr>
              <w:t>1</w:t>
            </w:r>
          </w:p>
        </w:tc>
        <w:tc>
          <w:tcPr>
            <w:tcW w:w="400" w:type="dxa"/>
            <w:vAlign w:val="bottom"/>
            <w:tcBorders>
              <w:bottom w:val="single" w:sz="8" w:color="auto"/>
              <w:right w:val="single" w:sz="8" w:color="auto"/>
            </w:tcBorders>
            <w:shd w:val="clear" w:color="auto" w:fill="CFF0FC"/>
          </w:tcPr>
          <w:p>
            <w:pPr>
              <w:spacing w:after="0"/>
              <w:rPr>
                <w:sz w:val="14"/>
                <w:szCs w:val="14"/>
                <w:color w:val="auto"/>
              </w:rPr>
            </w:pPr>
          </w:p>
        </w:tc>
        <w:tc>
          <w:tcPr>
            <w:tcW w:w="18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White</w:t>
            </w:r>
          </w:p>
        </w:tc>
        <w:tc>
          <w:tcPr>
            <w:tcW w:w="152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Recommendations</w:t>
      </w:r>
    </w:p>
    <w:p>
      <w:pPr>
        <w:spacing w:after="0" w:line="119" w:lineRule="exact"/>
        <w:rPr>
          <w:sz w:val="20"/>
          <w:szCs w:val="20"/>
          <w:color w:val="auto"/>
        </w:rPr>
      </w:pPr>
    </w:p>
    <w:p>
      <w:pPr>
        <w:ind w:left="300" w:right="379" w:firstLine="441"/>
        <w:spacing w:after="0" w:line="253" w:lineRule="auto"/>
        <w:rPr>
          <w:sz w:val="20"/>
          <w:szCs w:val="20"/>
          <w:color w:val="auto"/>
        </w:rPr>
      </w:pPr>
      <w:r>
        <w:rPr>
          <w:rFonts w:ascii="Times New Roman" w:cs="Times New Roman" w:eastAsia="Times New Roman" w:hAnsi="Times New Roman"/>
          <w:sz w:val="18"/>
          <w:szCs w:val="18"/>
          <w:color w:val="auto"/>
        </w:rPr>
        <w:t>It is the Governance Committee’s policy, as described below, to consider written recommendations from stockholders for nominees for director. The Governance Committee considers persons recommended by our stockholders in the same manner as a nominee recommended by our Board members, management or a third-party executive search firm. Any such recommendations should be submitted to the Governance Committee, c/o the Secretary, and should include the following information: (i) all information relating to such nominee that is required to be disclosed pursuant to Regulation 14A under the Exchange Act (including such person’s written consent to being named in the Proxy Statement as a nominee and to serving as a director, if elected); (ii) the names and addresses of the stockholders making the nomination and the number of shares of our common stock which are owned beneficially and of record by such stockholders; and (iii) appropriate biographical information and a statement as to the qualification of the nominee. Stockholders seeking to recommend a prospective nominee should follow the instructions under the heading “Communications with Directors” below. The Board did not receive any stockholder recommendations during the year ended December 31, 2022.</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8"/>
          <w:szCs w:val="18"/>
          <w:i w:val="1"/>
          <w:iCs w:val="1"/>
          <w:color w:val="auto"/>
        </w:rPr>
        <w:t>Process for Identifying and Evaluating Nominees</w:t>
      </w:r>
    </w:p>
    <w:p>
      <w:pPr>
        <w:spacing w:after="0" w:line="119" w:lineRule="exact"/>
        <w:rPr>
          <w:sz w:val="20"/>
          <w:szCs w:val="20"/>
          <w:color w:val="auto"/>
        </w:rPr>
      </w:pPr>
    </w:p>
    <w:p>
      <w:pPr>
        <w:ind w:left="300" w:right="339" w:firstLine="441"/>
        <w:spacing w:after="0" w:line="255" w:lineRule="auto"/>
        <w:rPr>
          <w:sz w:val="20"/>
          <w:szCs w:val="20"/>
          <w:color w:val="auto"/>
        </w:rPr>
      </w:pPr>
      <w:r>
        <w:rPr>
          <w:rFonts w:ascii="Times New Roman" w:cs="Times New Roman" w:eastAsia="Times New Roman" w:hAnsi="Times New Roman"/>
          <w:sz w:val="18"/>
          <w:szCs w:val="18"/>
          <w:color w:val="auto"/>
        </w:rPr>
        <w:t>The Board believes we are well served by our current directors who provide the Board with experience, skills and characteristics that the Board has determined meet its requirements with respect to experience, knowledge, integrity, understanding of our business environment, specific skills that are helpful to the Company and the willingness to devote adequate time to Board duties. The Board, following the recommendation of our Governance Committee, determined that the seven director nominees, four of whom were elected at our 2022 Annual Meeting of Stockholders and three of whom were appointed by the Board in February 2023 pursuant to the Cooperation Agreement, are best-suited to continue to serve our needs, given our Company’s current anticipated activities.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Oversight of Risk Management</w:t>
      </w:r>
    </w:p>
    <w:p>
      <w:pPr>
        <w:spacing w:after="0" w:line="121" w:lineRule="exact"/>
        <w:rPr>
          <w:sz w:val="20"/>
          <w:szCs w:val="20"/>
          <w:color w:val="auto"/>
        </w:rPr>
      </w:pPr>
    </w:p>
    <w:p>
      <w:pPr>
        <w:ind w:left="300" w:right="339" w:firstLine="441"/>
        <w:spacing w:after="0" w:line="253" w:lineRule="auto"/>
        <w:rPr>
          <w:sz w:val="20"/>
          <w:szCs w:val="20"/>
          <w:color w:val="auto"/>
        </w:rPr>
      </w:pPr>
      <w:r>
        <w:rPr>
          <w:rFonts w:ascii="Times New Roman" w:cs="Times New Roman" w:eastAsia="Times New Roman" w:hAnsi="Times New Roman"/>
          <w:sz w:val="18"/>
          <w:szCs w:val="18"/>
          <w:color w:val="auto"/>
        </w:rPr>
        <w:t>Our Board is responsible for oversight of our risk management policies and procedures. We are exposed to a number of risks, including financial risks, strategic, operational and commercial risks and risks relating to regulatory and legal compliance. The Board will regularly discuss with management our major risk exposures and the steps management has taken to monitor and control such exposures, including the guidelines and policies to govern the process by which risk assessment and risk management are undertaken, and highlighting any new risks that may have arisen since they last met. The Board manages exposure risks within various areas including: (i) risks relating to our employment policies, executive compensation plans and arrangements; (ii) financial risks and taking appropriate actions to help ensure quality financial reporting and appropriately conservative investment practices;</w:t>
      </w:r>
    </w:p>
    <w:p>
      <w:pPr>
        <w:spacing w:after="0" w:line="1" w:lineRule="exact"/>
        <w:rPr>
          <w:sz w:val="20"/>
          <w:szCs w:val="20"/>
          <w:color w:val="auto"/>
        </w:rPr>
      </w:pPr>
    </w:p>
    <w:p>
      <w:pPr>
        <w:ind w:left="300" w:right="319" w:hanging="8"/>
        <w:spacing w:after="0" w:line="252" w:lineRule="auto"/>
        <w:tabs>
          <w:tab w:leader="none" w:pos="6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independence of the Board and potential conflicts of interest; (iv) commercial risks; (v) cybersecurity risks; and (vi) risks related to environmental, social and governance matters. The Audit Committee reviews policies with respect to risk assessment and risk management and reviews with the Company’s Chief Operating Officer, who would also consult with outside counsel as appropriate, any legal matter that could have a significant impact on the Company’s financial statements. The Audit Committee also reviews policies with respect to the Company’s major financial, compliance, information technology and cybersecurity risk exposures and the steps management has undertaken to control them and makes related recommendations to the Board.</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119" w:lineRule="exact"/>
        <w:rPr>
          <w:sz w:val="20"/>
          <w:szCs w:val="20"/>
          <w:color w:val="auto"/>
        </w:rPr>
      </w:pPr>
    </w:p>
    <w:p>
      <w:pPr>
        <w:ind w:left="300" w:right="459" w:firstLine="441"/>
        <w:spacing w:after="0" w:line="254" w:lineRule="auto"/>
        <w:rPr>
          <w:sz w:val="20"/>
          <w:szCs w:val="20"/>
          <w:color w:val="auto"/>
        </w:rPr>
      </w:pPr>
      <w:r>
        <w:rPr>
          <w:rFonts w:ascii="Times New Roman" w:cs="Times New Roman" w:eastAsia="Times New Roman" w:hAnsi="Times New Roman"/>
          <w:sz w:val="18"/>
          <w:szCs w:val="18"/>
          <w:color w:val="auto"/>
        </w:rPr>
        <w:t>To further discourage inappropriate or excessive risk-taking, the Compensation Committee has adopted a recoupment policy applicable to our named executive officers. Under the policy, in the event of a material restatement of our consolidated financial statements, the Compensation Committee may, to the extent permitted by law and to the extent it determines that it is in our best interests to do so, in addition to all other remedies available to us, require reimbursement or payment of the portion of any incentive compensation, including any equity compensation, paid or awarded to a named executive officer whose misconduct contributed to the reason for the restatement within the three year period prior to the date such material restatement is first publicly disclosed that would have been materially lower if determined using the restated financial results.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Hedging Policy</w:t>
      </w:r>
    </w:p>
    <w:p>
      <w:pPr>
        <w:spacing w:after="0" w:line="119" w:lineRule="exact"/>
        <w:rPr>
          <w:sz w:val="20"/>
          <w:szCs w:val="20"/>
          <w:color w:val="auto"/>
        </w:rPr>
      </w:pPr>
    </w:p>
    <w:p>
      <w:pPr>
        <w:ind w:left="300" w:right="439" w:firstLine="441"/>
        <w:spacing w:after="0" w:line="258" w:lineRule="auto"/>
        <w:rPr>
          <w:sz w:val="20"/>
          <w:szCs w:val="20"/>
          <w:color w:val="auto"/>
        </w:rPr>
      </w:pPr>
      <w:r>
        <w:rPr>
          <w:rFonts w:ascii="Times New Roman" w:cs="Times New Roman" w:eastAsia="Times New Roman" w:hAnsi="Times New Roman"/>
          <w:sz w:val="18"/>
          <w:szCs w:val="18"/>
          <w:color w:val="auto"/>
        </w:rPr>
        <w:t>We maintain an Insider Trading and Trading Window Policy that, among other things, prohibits our officers, including our named executive officers, directors and employees from engaging in short sales, hedging, and transactions in derivative securities relating to our common stock. Our Insider Trading and Trading Window Policy permits our officers, including our named executive officers, directors and employees to pledge our securities as collateral and use our securities as collateral in a margin account.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229" w:lineRule="exact"/>
        <w:rPr>
          <w:sz w:val="20"/>
          <w:szCs w:val="20"/>
          <w:color w:val="auto"/>
        </w:rPr>
      </w:pPr>
    </w:p>
    <w:p>
      <w:pPr>
        <w:ind w:left="300" w:right="399" w:firstLine="441"/>
        <w:spacing w:after="0" w:line="266" w:lineRule="auto"/>
        <w:rPr>
          <w:sz w:val="20"/>
          <w:szCs w:val="20"/>
          <w:color w:val="auto"/>
        </w:rPr>
      </w:pPr>
      <w:r>
        <w:rPr>
          <w:rFonts w:ascii="Times New Roman" w:cs="Times New Roman" w:eastAsia="Times New Roman" w:hAnsi="Times New Roman"/>
          <w:sz w:val="18"/>
          <w:szCs w:val="18"/>
          <w:color w:val="auto"/>
        </w:rPr>
        <w:t xml:space="preserve">Stockholders and other interested parties who wish to communicate with any director or committee of our Board may do so using the procedures detailed in the Corporate Governance section of the Investor Resources page on our website at </w:t>
      </w:r>
      <w:r>
        <w:rPr>
          <w:rFonts w:ascii="Times New Roman" w:cs="Times New Roman" w:eastAsia="Times New Roman" w:hAnsi="Times New Roman"/>
          <w:sz w:val="18"/>
          <w:szCs w:val="18"/>
          <w:i w:val="1"/>
          <w:iCs w:val="1"/>
          <w:color w:val="auto"/>
        </w:rPr>
        <w:t>www.herontx.com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229"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Ethics and Business Conduct that applies to our Principal Executive Officer, Principal Financial and Accounting Officer and to all of our other officers, directors and employees. The Code of Ethics and Business Conduct is available in the Corporate Governance section of the Investor Resources page on our website at </w:t>
      </w:r>
      <w:r>
        <w:rPr>
          <w:rFonts w:ascii="Times New Roman" w:cs="Times New Roman" w:eastAsia="Times New Roman" w:hAnsi="Times New Roman"/>
          <w:sz w:val="18"/>
          <w:szCs w:val="18"/>
          <w:i w:val="1"/>
          <w:iCs w:val="1"/>
          <w:color w:val="auto"/>
        </w:rPr>
        <w:t>www.herontx.com</w:t>
      </w:r>
      <w:r>
        <w:rPr>
          <w:rFonts w:ascii="Times New Roman" w:cs="Times New Roman" w:eastAsia="Times New Roman" w:hAnsi="Times New Roman"/>
          <w:sz w:val="18"/>
          <w:szCs w:val="18"/>
          <w:color w:val="auto"/>
        </w:rPr>
        <w:t>. We intend to disclose future waivers or material amendments to certain provisions of our Code of Ethics and Business Conduct on the above-referenced website within four business days following the date of such waiver or amendment. To the extent permissible under Nasdaq rules, if we make any amendments to the Code of Ethics and Business Conduct or grant any waiver, including implicit waiver, from a provision of the Code of Ethics and Business Conduct to a director or executive officer, we intend to disclose the nature of such amendment or waiver in the manner set forth in the Code of Ethics and Business Conduct on our website.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BY CERTAIN BENEFICIAL HOLDERS</w:t>
      </w:r>
    </w:p>
    <w:p>
      <w:pPr>
        <w:spacing w:after="0" w:line="229" w:lineRule="exact"/>
        <w:rPr>
          <w:sz w:val="20"/>
          <w:szCs w:val="20"/>
          <w:color w:val="auto"/>
        </w:rPr>
      </w:pPr>
    </w:p>
    <w:p>
      <w:pPr>
        <w:ind w:left="300" w:right="419" w:firstLine="441"/>
        <w:spacing w:after="0" w:line="276" w:lineRule="auto"/>
        <w:rPr>
          <w:sz w:val="20"/>
          <w:szCs w:val="20"/>
          <w:color w:val="auto"/>
        </w:rPr>
      </w:pPr>
      <w:r>
        <w:rPr>
          <w:rFonts w:ascii="Times New Roman" w:cs="Times New Roman" w:eastAsia="Times New Roman" w:hAnsi="Times New Roman"/>
          <w:sz w:val="17"/>
          <w:szCs w:val="17"/>
          <w:color w:val="auto"/>
        </w:rPr>
        <w:t>The following table sets forth information regarding beneficial ownership of our common stock by: (i) each person known to us to own more than 5% of the outstanding shares of our common stock; (ii) each of our directors;</w:t>
      </w:r>
    </w:p>
    <w:p>
      <w:pPr>
        <w:spacing w:after="0" w:line="1" w:lineRule="exact"/>
        <w:rPr>
          <w:sz w:val="20"/>
          <w:szCs w:val="20"/>
          <w:color w:val="auto"/>
        </w:rPr>
      </w:pPr>
    </w:p>
    <w:p>
      <w:pPr>
        <w:ind w:left="300" w:right="299" w:hanging="8"/>
        <w:spacing w:after="0" w:line="267"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and (iv) all current directors and Named Executive Officers, as a group. The number of shares reported in the table below is as of the Record Date, except as otherwise noted below, and is based on filings with the SEC or other information of which we are aware. The information in this table is based solely on statements in filings with the SEC or other reliable information included in the Company’s records. Unless otherwise indicated, the address of each of the named individuals is c/o Heron Therapeutics, Inc., 4242 Campus Point Court, Suite 200, San Diego, California 92121. The percentage of ownership is based on 119,279,998 shares of common stock issued and outstanding as of the Record Date. Beneficial ownership of shares is determined in accordance with the rules of the SEC and includes voting and investment power with respect to the shares. Shares of common stock subject to outstanding options and warrants and shares of common stock underlying convertible notes that are exercisable or convertible, as the case may be, within 60 days of the Record Date are deemed outstanding for computing the percentage of ownership of the person holding such options, restricted stock units, warrants or convertible notes, but are not deemed outstanding for computing the percentage of any other person. Except as otherwise noted, each person or entity has sole voting and investment power with respect to the shares shown.</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2040" w:type="dxa"/>
            <w:vAlign w:val="bottom"/>
            <w:gridSpan w:val="2"/>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2040" w:type="dxa"/>
            <w:vAlign w:val="bottom"/>
            <w:gridSpan w:val="2"/>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760" w:type="dxa"/>
            <w:vAlign w:val="bottom"/>
            <w:tcBorders>
              <w:top w:val="single" w:sz="8" w:color="auto"/>
            </w:tcBorders>
            <w:shd w:val="clear" w:color="auto" w:fill="CFF0FC"/>
          </w:tcPr>
          <w:p>
            <w:pPr>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Greater than 5% Holders</w:t>
            </w:r>
            <w:r>
              <w:rPr>
                <w:rFonts w:ascii="Times New Roman" w:cs="Times New Roman" w:eastAsia="Times New Roman" w:hAnsi="Times New Roman"/>
                <w:sz w:val="24"/>
                <w:szCs w:val="24"/>
                <w:b w:val="1"/>
                <w:bCs w:val="1"/>
                <w:i w:val="1"/>
                <w:iCs w:val="1"/>
                <w:color w:val="auto"/>
                <w:vertAlign w:val="superscript"/>
              </w:rPr>
              <w:t>(1)</w:t>
            </w:r>
          </w:p>
        </w:tc>
        <w:tc>
          <w:tcPr>
            <w:tcW w:w="9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tcBorders>
              <w:top w:val="single" w:sz="8" w:color="auto"/>
              <w:right w:val="single" w:sz="8" w:color="CFF0FC"/>
            </w:tcBorders>
            <w:shd w:val="clear" w:color="auto" w:fill="CFF0FC"/>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Deep Track Capital, LP</w:t>
            </w:r>
            <w:r>
              <w:rPr>
                <w:rFonts w:ascii="Times New Roman" w:cs="Times New Roman" w:eastAsia="Times New Roman" w:hAnsi="Times New Roman"/>
                <w:sz w:val="24"/>
                <w:szCs w:val="24"/>
                <w:color w:val="auto"/>
                <w:vertAlign w:val="superscript"/>
              </w:rPr>
              <w:t>(2)</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12,232,267</w:t>
            </w:r>
          </w:p>
        </w:tc>
        <w:tc>
          <w:tcPr>
            <w:tcW w:w="22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10.26 %</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200 Greenwich Ave, 3rd Floor</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00" w:type="dxa"/>
            <w:vAlign w:val="bottom"/>
          </w:tcPr>
          <w:p>
            <w:pPr>
              <w:spacing w:after="0"/>
              <w:rPr>
                <w:sz w:val="21"/>
                <w:szCs w:val="21"/>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Greenwich, CT 06830</w:t>
            </w: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Franklin Resources, Inc.</w:t>
            </w:r>
            <w:r>
              <w:rPr>
                <w:rFonts w:ascii="Times New Roman" w:cs="Times New Roman" w:eastAsia="Times New Roman" w:hAnsi="Times New Roman"/>
                <w:sz w:val="24"/>
                <w:szCs w:val="24"/>
                <w:color w:val="auto"/>
                <w:vertAlign w:val="superscript"/>
              </w:rPr>
              <w:t>(3)</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11,867,780</w:t>
            </w:r>
          </w:p>
        </w:tc>
        <w:tc>
          <w:tcPr>
            <w:tcW w:w="22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9.95 %</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One Franklin Parkway</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00" w:type="dxa"/>
            <w:vAlign w:val="bottom"/>
          </w:tcPr>
          <w:p>
            <w:pPr>
              <w:spacing w:after="0"/>
              <w:rPr>
                <w:sz w:val="21"/>
                <w:szCs w:val="21"/>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San Mateo, CA 94403</w:t>
            </w: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Rubric Capital Management LP</w:t>
            </w:r>
            <w:r>
              <w:rPr>
                <w:rFonts w:ascii="Times New Roman" w:cs="Times New Roman" w:eastAsia="Times New Roman" w:hAnsi="Times New Roman"/>
                <w:sz w:val="24"/>
                <w:szCs w:val="24"/>
                <w:color w:val="auto"/>
                <w:vertAlign w:val="superscript"/>
              </w:rPr>
              <w:t>(4)</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11,750,000</w:t>
            </w:r>
          </w:p>
        </w:tc>
        <w:tc>
          <w:tcPr>
            <w:tcW w:w="22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9.85 %</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One Lincoln Street</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00" w:type="dxa"/>
            <w:vAlign w:val="bottom"/>
          </w:tcPr>
          <w:p>
            <w:pPr>
              <w:spacing w:after="0"/>
              <w:rPr>
                <w:sz w:val="21"/>
                <w:szCs w:val="21"/>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Boston, MA 02111</w:t>
            </w: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4"/>
                <w:szCs w:val="24"/>
                <w:color w:val="auto"/>
                <w:vertAlign w:val="superscript"/>
              </w:rPr>
              <w:t>(5)</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9,650,709</w:t>
            </w:r>
          </w:p>
        </w:tc>
        <w:tc>
          <w:tcPr>
            <w:tcW w:w="22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8.09 %</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East 52nd Street</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00" w:type="dxa"/>
            <w:vAlign w:val="bottom"/>
          </w:tcPr>
          <w:p>
            <w:pPr>
              <w:spacing w:after="0"/>
              <w:rPr>
                <w:sz w:val="21"/>
                <w:szCs w:val="21"/>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New York, NY 10055</w:t>
            </w: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Baker Bros. Advisors LP</w:t>
            </w:r>
            <w:r>
              <w:rPr>
                <w:rFonts w:ascii="Times New Roman" w:cs="Times New Roman" w:eastAsia="Times New Roman" w:hAnsi="Times New Roman"/>
                <w:sz w:val="24"/>
                <w:szCs w:val="24"/>
                <w:color w:val="auto"/>
                <w:vertAlign w:val="superscript"/>
              </w:rPr>
              <w:t>(6)</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8,131,678</w:t>
            </w:r>
          </w:p>
        </w:tc>
        <w:tc>
          <w:tcPr>
            <w:tcW w:w="22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6.82 %</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860 Washington Street, 3rd Floor</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00" w:type="dxa"/>
            <w:vAlign w:val="bottom"/>
          </w:tcPr>
          <w:p>
            <w:pPr>
              <w:spacing w:after="0"/>
              <w:rPr>
                <w:sz w:val="21"/>
                <w:szCs w:val="21"/>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New York, NY 10014</w:t>
            </w: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Vanguard Group Inc. </w:t>
            </w:r>
            <w:r>
              <w:rPr>
                <w:rFonts w:ascii="Times New Roman" w:cs="Times New Roman" w:eastAsia="Times New Roman" w:hAnsi="Times New Roman"/>
                <w:sz w:val="24"/>
                <w:szCs w:val="24"/>
                <w:color w:val="auto"/>
                <w:vertAlign w:val="superscript"/>
              </w:rPr>
              <w:t>(7)</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7,806,285</w:t>
            </w:r>
          </w:p>
        </w:tc>
        <w:tc>
          <w:tcPr>
            <w:tcW w:w="22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6.54 %</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100 Vanguard Blvd.</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00" w:type="dxa"/>
            <w:vAlign w:val="bottom"/>
          </w:tcPr>
          <w:p>
            <w:pPr>
              <w:spacing w:after="0"/>
              <w:rPr>
                <w:sz w:val="21"/>
                <w:szCs w:val="21"/>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Malvern, PA 19355</w:t>
            </w: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JPMorgan Chase &amp; Co.</w:t>
            </w:r>
            <w:r>
              <w:rPr>
                <w:rFonts w:ascii="Times New Roman" w:cs="Times New Roman" w:eastAsia="Times New Roman" w:hAnsi="Times New Roman"/>
                <w:sz w:val="24"/>
                <w:szCs w:val="24"/>
                <w:color w:val="auto"/>
                <w:vertAlign w:val="superscript"/>
              </w:rPr>
              <w:t>(8)</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6,753,629</w:t>
            </w:r>
          </w:p>
        </w:tc>
        <w:tc>
          <w:tcPr>
            <w:tcW w:w="22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5.66 %</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383 Madison Avenue</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00" w:type="dxa"/>
            <w:vAlign w:val="bottom"/>
          </w:tcPr>
          <w:p>
            <w:pPr>
              <w:spacing w:after="0"/>
              <w:rPr>
                <w:sz w:val="21"/>
                <w:szCs w:val="21"/>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New York, NY 10017</w:t>
            </w: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Great Point Partners, LLC </w:t>
            </w:r>
            <w:r>
              <w:rPr>
                <w:rFonts w:ascii="Times New Roman" w:cs="Times New Roman" w:eastAsia="Times New Roman" w:hAnsi="Times New Roman"/>
                <w:sz w:val="24"/>
                <w:szCs w:val="24"/>
                <w:color w:val="auto"/>
                <w:vertAlign w:val="superscript"/>
              </w:rPr>
              <w:t>(9)</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6,360,161</w:t>
            </w:r>
          </w:p>
        </w:tc>
        <w:tc>
          <w:tcPr>
            <w:tcW w:w="22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165 Mason Street, 3rd Floor</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00" w:type="dxa"/>
            <w:vAlign w:val="bottom"/>
          </w:tcPr>
          <w:p>
            <w:pPr>
              <w:spacing w:after="0"/>
              <w:rPr>
                <w:sz w:val="21"/>
                <w:szCs w:val="21"/>
                <w:color w:val="auto"/>
              </w:rPr>
            </w:pPr>
          </w:p>
        </w:tc>
        <w:tc>
          <w:tcPr>
            <w:tcW w:w="2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Greenwich, CT 06830</w:t>
            </w: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5513070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2" w:name="page23"/>
    <w:bookmarkEnd w:id="22"/>
    <w:tbl>
      <w:tblPr>
        <w:tblLayout w:type="fixed"/>
        <w:tblInd w:w="1140" w:type="dxa"/>
        <w:tblCellMar>
          <w:top w:w="0" w:type="dxa"/>
          <w:left w:w="0" w:type="dxa"/>
          <w:bottom w:w="0" w:type="dxa"/>
          <w:right w:w="0" w:type="dxa"/>
        </w:tblCellMar>
      </w:tblPr>
      <w:tr>
        <w:trPr>
          <w:trHeight w:val="245"/>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1620" w:type="dxa"/>
            <w:vAlign w:val="bottom"/>
            <w:shd w:val="clear" w:color="auto" w:fill="CFF0FC"/>
          </w:tcPr>
          <w:p>
            <w:pPr>
              <w:spacing w:after="0" w:line="250" w:lineRule="exact"/>
              <w:rPr>
                <w:sz w:val="20"/>
                <w:szCs w:val="20"/>
                <w:color w:val="auto"/>
              </w:rPr>
            </w:pPr>
            <w:r>
              <w:rPr>
                <w:rFonts w:ascii="Times New Roman" w:cs="Times New Roman" w:eastAsia="Times New Roman" w:hAnsi="Times New Roman"/>
                <w:sz w:val="18"/>
                <w:szCs w:val="18"/>
                <w:color w:val="auto"/>
              </w:rPr>
              <w:t>Craig Collard</w:t>
            </w:r>
            <w:r>
              <w:rPr>
                <w:rFonts w:ascii="Times New Roman" w:cs="Times New Roman" w:eastAsia="Times New Roman" w:hAnsi="Times New Roman"/>
                <w:sz w:val="24"/>
                <w:szCs w:val="24"/>
                <w:color w:val="auto"/>
                <w:vertAlign w:val="superscript"/>
              </w:rPr>
              <w:t>(10)</w:t>
            </w:r>
          </w:p>
        </w:tc>
        <w:tc>
          <w:tcPr>
            <w:tcW w:w="2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13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2,367</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191"/>
        </w:trPr>
        <w:tc>
          <w:tcPr>
            <w:tcW w:w="1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Sharmila Dissanaike,</w:t>
            </w:r>
          </w:p>
        </w:tc>
        <w:tc>
          <w:tcPr>
            <w:tcW w:w="2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8"/>
        </w:trPr>
        <w:tc>
          <w:tcPr>
            <w:tcW w:w="1620" w:type="dxa"/>
            <w:vAlign w:val="bottom"/>
          </w:tcPr>
          <w:p>
            <w:pPr>
              <w:spacing w:after="0" w:line="268" w:lineRule="exact"/>
              <w:rPr>
                <w:sz w:val="20"/>
                <w:szCs w:val="20"/>
                <w:color w:val="auto"/>
              </w:rPr>
            </w:pPr>
            <w:r>
              <w:rPr>
                <w:rFonts w:ascii="Times New Roman" w:cs="Times New Roman" w:eastAsia="Times New Roman" w:hAnsi="Times New Roman"/>
                <w:sz w:val="31"/>
                <w:szCs w:val="31"/>
                <w:color w:val="auto"/>
                <w:vertAlign w:val="subscript"/>
              </w:rPr>
              <w:t>M.D.</w:t>
            </w:r>
            <w:r>
              <w:rPr>
                <w:rFonts w:ascii="Times New Roman" w:cs="Times New Roman" w:eastAsia="Times New Roman" w:hAnsi="Times New Roman"/>
                <w:sz w:val="11"/>
                <w:szCs w:val="11"/>
                <w:color w:val="auto"/>
              </w:rPr>
              <w:t>(11)</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87,904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r>
      <w:tr>
        <w:trPr>
          <w:trHeight w:val="243"/>
        </w:trPr>
        <w:tc>
          <w:tcPr>
            <w:tcW w:w="16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Craig Johnson</w:t>
            </w:r>
            <w:r>
              <w:rPr>
                <w:rFonts w:ascii="Times New Roman" w:cs="Times New Roman" w:eastAsia="Times New Roman" w:hAnsi="Times New Roman"/>
                <w:sz w:val="24"/>
                <w:szCs w:val="24"/>
                <w:color w:val="auto"/>
                <w:vertAlign w:val="superscript"/>
              </w:rPr>
              <w:t>(12)</w:t>
            </w:r>
          </w:p>
        </w:tc>
        <w:tc>
          <w:tcPr>
            <w:tcW w:w="2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297,275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18"/>
        </w:trPr>
        <w:tc>
          <w:tcPr>
            <w:tcW w:w="1620" w:type="dxa"/>
            <w:vAlign w:val="bottom"/>
          </w:tcPr>
          <w:p>
            <w:pPr>
              <w:spacing w:after="0" w:line="218" w:lineRule="exact"/>
              <w:rPr>
                <w:sz w:val="20"/>
                <w:szCs w:val="20"/>
                <w:color w:val="auto"/>
              </w:rPr>
            </w:pPr>
            <w:r>
              <w:rPr>
                <w:rFonts w:ascii="Times New Roman" w:cs="Times New Roman" w:eastAsia="Times New Roman" w:hAnsi="Times New Roman"/>
                <w:sz w:val="18"/>
                <w:szCs w:val="18"/>
                <w:color w:val="auto"/>
              </w:rPr>
              <w:t>Kevin Kotler</w:t>
            </w:r>
            <w:r>
              <w:rPr>
                <w:rFonts w:ascii="Times New Roman" w:cs="Times New Roman" w:eastAsia="Times New Roman" w:hAnsi="Times New Roman"/>
                <w:sz w:val="24"/>
                <w:szCs w:val="24"/>
                <w:color w:val="auto"/>
                <w:vertAlign w:val="superscript"/>
              </w:rPr>
              <w:t>(13)</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556,572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Adam Morgan</w:t>
            </w:r>
            <w:r>
              <w:rPr>
                <w:rFonts w:ascii="Times New Roman" w:cs="Times New Roman" w:eastAsia="Times New Roman" w:hAnsi="Times New Roman"/>
                <w:sz w:val="24"/>
                <w:szCs w:val="24"/>
                <w:color w:val="auto"/>
                <w:vertAlign w:val="superscript"/>
              </w:rPr>
              <w:t>(14)</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4,516,572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3.79 %</w:t>
            </w:r>
          </w:p>
        </w:tc>
      </w:tr>
      <w:tr>
        <w:trPr>
          <w:trHeight w:val="268"/>
        </w:trPr>
        <w:tc>
          <w:tcPr>
            <w:tcW w:w="16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Susan Rodriguez</w:t>
            </w:r>
            <w:r>
              <w:rPr>
                <w:rFonts w:ascii="Times New Roman" w:cs="Times New Roman" w:eastAsia="Times New Roman" w:hAnsi="Times New Roman"/>
                <w:sz w:val="24"/>
                <w:szCs w:val="24"/>
                <w:color w:val="auto"/>
                <w:vertAlign w:val="superscript"/>
              </w:rPr>
              <w:t>(15)</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87,904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r>
      <w:tr>
        <w:trPr>
          <w:trHeight w:val="243"/>
        </w:trPr>
        <w:tc>
          <w:tcPr>
            <w:tcW w:w="16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Christian Waage</w:t>
            </w:r>
            <w:r>
              <w:rPr>
                <w:rFonts w:ascii="Times New Roman" w:cs="Times New Roman" w:eastAsia="Times New Roman" w:hAnsi="Times New Roman"/>
                <w:sz w:val="24"/>
                <w:szCs w:val="24"/>
                <w:color w:val="auto"/>
                <w:vertAlign w:val="superscript"/>
              </w:rPr>
              <w:t>(16)</w:t>
            </w:r>
          </w:p>
        </w:tc>
        <w:tc>
          <w:tcPr>
            <w:tcW w:w="2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186,410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191"/>
        </w:trPr>
        <w:tc>
          <w:tcPr>
            <w:tcW w:w="1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Kimberly</w:t>
            </w:r>
          </w:p>
        </w:tc>
        <w:tc>
          <w:tcPr>
            <w:tcW w:w="29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Executive Vice President, Drug</w:t>
            </w: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8"/>
        </w:trPr>
        <w:tc>
          <w:tcPr>
            <w:tcW w:w="16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Manhard</w:t>
            </w:r>
            <w:r>
              <w:rPr>
                <w:rFonts w:ascii="Times New Roman" w:cs="Times New Roman" w:eastAsia="Times New Roman" w:hAnsi="Times New Roman"/>
                <w:sz w:val="24"/>
                <w:szCs w:val="24"/>
                <w:color w:val="auto"/>
                <w:vertAlign w:val="superscript"/>
              </w:rPr>
              <w:t>(17)</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895,192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r>
      <w:tr>
        <w:trPr>
          <w:trHeight w:val="211"/>
        </w:trPr>
        <w:tc>
          <w:tcPr>
            <w:tcW w:w="1620" w:type="dxa"/>
            <w:vAlign w:val="bottom"/>
            <w:shd w:val="clear" w:color="auto" w:fill="CFF0FC"/>
          </w:tcPr>
          <w:p>
            <w:pPr>
              <w:spacing w:after="0" w:line="211" w:lineRule="exact"/>
              <w:rPr>
                <w:sz w:val="20"/>
                <w:szCs w:val="20"/>
                <w:color w:val="auto"/>
              </w:rPr>
            </w:pPr>
            <w:r>
              <w:rPr>
                <w:rFonts w:ascii="Times New Roman" w:cs="Times New Roman" w:eastAsia="Times New Roman" w:hAnsi="Times New Roman"/>
                <w:sz w:val="18"/>
                <w:szCs w:val="18"/>
                <w:color w:val="auto"/>
              </w:rPr>
              <w:t>David Szekeres</w:t>
            </w:r>
            <w:r>
              <w:rPr>
                <w:rFonts w:ascii="Times New Roman" w:cs="Times New Roman" w:eastAsia="Times New Roman" w:hAnsi="Times New Roman"/>
                <w:sz w:val="24"/>
                <w:szCs w:val="24"/>
                <w:color w:val="auto"/>
                <w:vertAlign w:val="superscript"/>
              </w:rPr>
              <w:t>(18)</w:t>
            </w:r>
          </w:p>
        </w:tc>
        <w:tc>
          <w:tcPr>
            <w:tcW w:w="2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w:t>
            </w:r>
          </w:p>
        </w:tc>
        <w:tc>
          <w:tcPr>
            <w:tcW w:w="1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1620" w:type="dxa"/>
            <w:vAlign w:val="bottom"/>
            <w:shd w:val="clear" w:color="auto" w:fill="CFF0FC"/>
          </w:tcPr>
          <w:p>
            <w:pPr>
              <w:spacing w:after="0"/>
              <w:rPr>
                <w:sz w:val="21"/>
                <w:szCs w:val="21"/>
                <w:color w:val="auto"/>
              </w:rPr>
            </w:pPr>
          </w:p>
        </w:tc>
        <w:tc>
          <w:tcPr>
            <w:tcW w:w="2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Officer</w:t>
            </w:r>
          </w:p>
        </w:tc>
        <w:tc>
          <w:tcPr>
            <w:tcW w:w="13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828,305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191"/>
        </w:trPr>
        <w:tc>
          <w:tcPr>
            <w:tcW w:w="1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Barry Quart,</w:t>
            </w:r>
          </w:p>
        </w:tc>
        <w:tc>
          <w:tcPr>
            <w:tcW w:w="29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Former Chief Executive Officer and</w:t>
            </w: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8"/>
        </w:trPr>
        <w:tc>
          <w:tcPr>
            <w:tcW w:w="16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Pharm.D.</w:t>
            </w:r>
            <w:r>
              <w:rPr>
                <w:rFonts w:ascii="Times New Roman" w:cs="Times New Roman" w:eastAsia="Times New Roman" w:hAnsi="Times New Roman"/>
                <w:sz w:val="24"/>
                <w:szCs w:val="24"/>
                <w:color w:val="auto"/>
                <w:vertAlign w:val="superscript"/>
              </w:rPr>
              <w:t>(19)</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251,687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r>
      <w:tr>
        <w:trPr>
          <w:trHeight w:val="211"/>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Current Executive</w:t>
            </w:r>
          </w:p>
        </w:tc>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Officers and</w:t>
            </w:r>
          </w:p>
        </w:tc>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Directors as a group</w:t>
            </w:r>
          </w:p>
        </w:tc>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8"/>
        </w:trPr>
        <w:tc>
          <w:tcPr>
            <w:tcW w:w="16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(10 persons)</w:t>
            </w:r>
            <w:r>
              <w:rPr>
                <w:rFonts w:ascii="Times New Roman" w:cs="Times New Roman" w:eastAsia="Times New Roman" w:hAnsi="Times New Roman"/>
                <w:sz w:val="24"/>
                <w:szCs w:val="24"/>
                <w:color w:val="auto"/>
                <w:vertAlign w:val="superscript"/>
              </w:rPr>
              <w:t>(20)</w:t>
            </w:r>
          </w:p>
        </w:tc>
        <w:tc>
          <w:tcPr>
            <w:tcW w:w="2940" w:type="dxa"/>
            <w:vAlign w:val="bottom"/>
          </w:tcPr>
          <w:p>
            <w:pPr>
              <w:spacing w:after="0"/>
              <w:rPr>
                <w:sz w:val="23"/>
                <w:szCs w:val="23"/>
                <w:color w:val="auto"/>
              </w:rPr>
            </w:pP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7,796,834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-1902460</wp:posOffset>
            </wp:positionV>
            <wp:extent cx="427736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-565150</wp:posOffset>
            </wp:positionV>
            <wp:extent cx="4277360" cy="565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77360" cy="565785"/>
                    </a:xfrm>
                    <a:prstGeom prst="rect">
                      <a:avLst/>
                    </a:prstGeom>
                    <a:noFill/>
                  </pic:spPr>
                </pic:pic>
              </a:graphicData>
            </a:graphic>
          </wp:anchor>
        </w:drawing>
      </w:r>
    </w:p>
    <w:p>
      <w:pPr>
        <w:spacing w:after="0" w:line="179" w:lineRule="exact"/>
        <w:rPr>
          <w:sz w:val="20"/>
          <w:szCs w:val="20"/>
          <w:color w:val="auto"/>
        </w:rPr>
      </w:pPr>
    </w:p>
    <w:p>
      <w:pPr>
        <w:ind w:left="600" w:hanging="308"/>
        <w:spacing w:after="0"/>
        <w:tabs>
          <w:tab w:leader="none" w:pos="6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ownership of less than one percent.</w:t>
      </w:r>
    </w:p>
    <w:p>
      <w:pPr>
        <w:spacing w:after="0" w:line="6" w:lineRule="exact"/>
        <w:rPr>
          <w:sz w:val="20"/>
          <w:szCs w:val="20"/>
          <w:color w:val="auto"/>
        </w:rPr>
      </w:pPr>
    </w:p>
    <w:p>
      <w:pPr>
        <w:ind w:left="680" w:right="779" w:hanging="388"/>
        <w:spacing w:after="0" w:line="225" w:lineRule="auto"/>
        <w:tabs>
          <w:tab w:leader="none" w:pos="6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applicable, the number of shares of common stock listed as owned by a beneficial holder relies on public filings by such beneficial holder and the number of shares of common stock reported as beneficially owned.</w:t>
      </w:r>
    </w:p>
    <w:p>
      <w:pPr>
        <w:ind w:left="680" w:right="299" w:hanging="388"/>
        <w:spacing w:after="0" w:line="225" w:lineRule="auto"/>
        <w:tabs>
          <w:tab w:leader="none" w:pos="6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set forth in a Schedule 13G filed with the SEC on August 19, 2022 by Deep Track Capital, LP, Deep Track Biotechnology Master Fund, Ltd. and David Kroin reporting beneficial ownership of 12,232,267 shares of common stock. The Schedule 13G indicates that shares of common stock deemed beneficially owned by Deep Track Capital, LP, Deep Track Biotechnology Master Fund, Ltd. and David Kroin include pre-funded warrants eligible for conversion to shares of common stock. The Schedule 13G indicates that Deep Track Capital, LP, Deep Track Biotechnology Master Fund, Ltd. and David Kroin each have shared voting and dispositive power with respect to 12,232,267 shares of common stock.</w:t>
      </w:r>
    </w:p>
    <w:p>
      <w:pPr>
        <w:spacing w:after="0" w:line="1" w:lineRule="exact"/>
        <w:rPr>
          <w:rFonts w:ascii="Times New Roman" w:cs="Times New Roman" w:eastAsia="Times New Roman" w:hAnsi="Times New Roman"/>
          <w:sz w:val="15"/>
          <w:szCs w:val="15"/>
          <w:color w:val="auto"/>
        </w:rPr>
      </w:pPr>
    </w:p>
    <w:p>
      <w:pPr>
        <w:ind w:left="680" w:right="359" w:hanging="388"/>
        <w:spacing w:after="0" w:line="225" w:lineRule="auto"/>
        <w:tabs>
          <w:tab w:leader="none" w:pos="6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set forth in a Schedule 13G/A filed with the SEC on January 31, 2023 by Franklin Resources, Inc., Charles B. Johnson, Rupert H. Johnson, Jr. and Franklin Advisers, Inc. reporting beneficial ownership of 11,867,780. The Schedule 13G/A indicates that Franklin Advisers, Inc. has sole voting power with respect to 11,782,214 shares of common stock and sole dispositive power with respect to 11,783,314 shares of common stock, that Fiduciary Trust Company International has sole voting and dispositive power with respect to 44,330 shares of common stock.</w:t>
      </w:r>
    </w:p>
    <w:p>
      <w:pPr>
        <w:spacing w:after="0" w:line="1" w:lineRule="exact"/>
        <w:rPr>
          <w:rFonts w:ascii="Times New Roman" w:cs="Times New Roman" w:eastAsia="Times New Roman" w:hAnsi="Times New Roman"/>
          <w:sz w:val="15"/>
          <w:szCs w:val="15"/>
          <w:color w:val="auto"/>
        </w:rPr>
      </w:pPr>
    </w:p>
    <w:p>
      <w:pPr>
        <w:ind w:left="680" w:right="379" w:hanging="388"/>
        <w:spacing w:after="0" w:line="225" w:lineRule="auto"/>
        <w:tabs>
          <w:tab w:leader="none" w:pos="6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set forth in a Schedule 13D/A filed with the SEC on February 22, 2023 by Rubric Capital Management LP and David Rosen. Mr. Rosen is the Managing Member of Rubric Capital Management GP LLC, the general partner of Rubric Capital Management LP. The Schedule 13D/A indicates that Rubric Capital Management LP and David Rosen have shared voting and dispositive power with respect to 11,750,000 shares of common stock.</w:t>
      </w:r>
    </w:p>
    <w:p>
      <w:pPr>
        <w:spacing w:after="0" w:line="1" w:lineRule="exact"/>
        <w:rPr>
          <w:rFonts w:ascii="Times New Roman" w:cs="Times New Roman" w:eastAsia="Times New Roman" w:hAnsi="Times New Roman"/>
          <w:sz w:val="15"/>
          <w:szCs w:val="15"/>
          <w:color w:val="auto"/>
        </w:rPr>
      </w:pPr>
    </w:p>
    <w:p>
      <w:pPr>
        <w:ind w:left="680" w:right="699" w:hanging="388"/>
        <w:spacing w:after="0" w:line="225" w:lineRule="auto"/>
        <w:tabs>
          <w:tab w:leader="none" w:pos="6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set forth in a Schedule 13G/A filed with the SEC on February 3, 2023 by BlackRock, Inc. reporting beneficial ownership of 9,650,709. The Schedule 13G/A indicates that BlackRock, Inc. has sole voting power with respect to 9,203,336 shares of common stock and sole dispositive power with respect to 9,650,709 shares of common stock.</w:t>
      </w:r>
    </w:p>
    <w:p>
      <w:pPr>
        <w:ind w:left="680" w:right="339" w:hanging="388"/>
        <w:spacing w:after="0" w:line="225" w:lineRule="auto"/>
        <w:tabs>
          <w:tab w:leader="none" w:pos="6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set forth in a Schedule 13G/A filed with the SEC on February 14, 2022 by Baker Bros. Advisors LP, Baker Bros. Advisors (GP) LLC, Felix J. Baker, and Julian C. Baker (collectively, “Baker Bros”), each reporting beneficial ownership of 8,131,678 shares of common stock. The Schedule 13G/A indicates that the shares of common stock deemed beneficially owned by the Baker Bros represents (i) 681,619 shares of common stock consisting of (a) shares of common stock directly held by 667, L.P. and (b) shares of common stock that may be acquired by 667, L.P. upon the conversion of the Company’s 1.5% senior unsecured convertible notes and (ii) 7,450,059 shares of common stock consisting of (a) shares of common stock directly held by Baker Brothers Life Sciences, L.P. and (b) shares of common stock that may be acquired by Baker Brothers Life Sciences, L.P. upon the conversion of the Company’s 1.5% senior unsecured convertible notes. The Schedule 13G/A indicates each of Baker Bros. Advisors LP, Baker Bros. Advisors (GP) LLC, Felix J. Baker, and Julian C. Baker has sole voting and dispositive power with respect to 8,131,678 shares of common stock.</w:t>
      </w:r>
    </w:p>
    <w:p>
      <w:pPr>
        <w:spacing w:after="0" w:line="2" w:lineRule="exact"/>
        <w:rPr>
          <w:rFonts w:ascii="Times New Roman" w:cs="Times New Roman" w:eastAsia="Times New Roman" w:hAnsi="Times New Roman"/>
          <w:sz w:val="15"/>
          <w:szCs w:val="15"/>
          <w:color w:val="auto"/>
        </w:rPr>
      </w:pPr>
    </w:p>
    <w:p>
      <w:pPr>
        <w:ind w:left="680" w:right="359" w:hanging="388"/>
        <w:spacing w:after="0" w:line="225" w:lineRule="auto"/>
        <w:tabs>
          <w:tab w:leader="none" w:pos="6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set forth in a Schedule 13G/A filed with the SEC on February 9, 2023 by Vanguard Group Inc. reporting beneficial ownership of 7,806,285 shares of common stock. The Schedule 13G/A indicates that Vanguard Group has shared voting power with respect to 169,677 shares of common stock, sole dispositive power with respect to 7,533,009 shares of common stock and shared dispositive power with respect to 253,276 shares of common stock.</w:t>
      </w:r>
    </w:p>
    <w:p>
      <w:pPr>
        <w:spacing w:after="0" w:line="1" w:lineRule="exact"/>
        <w:rPr>
          <w:rFonts w:ascii="Times New Roman" w:cs="Times New Roman" w:eastAsia="Times New Roman" w:hAnsi="Times New Roman"/>
          <w:sz w:val="15"/>
          <w:szCs w:val="15"/>
          <w:color w:val="auto"/>
        </w:rPr>
      </w:pPr>
    </w:p>
    <w:p>
      <w:pPr>
        <w:ind w:left="680" w:right="439" w:hanging="388"/>
        <w:spacing w:after="0" w:line="225" w:lineRule="auto"/>
        <w:tabs>
          <w:tab w:leader="none" w:pos="6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set forth in a Schedule 13G/A filed with the SEC on January 23, 2023 by JPMorgan Chase &amp; Co. reporting beneficial ownership of 6,753,629 shares of common stock. The Schedule 13G/A indicates that JPMorgan Chase &amp; Co. has sole voting power with respect to 5,953,106 shares of common stock and sole dispositive power with respect to 6,753,629 shares of common stock.</w:t>
      </w:r>
    </w:p>
    <w:p>
      <w:pPr>
        <w:spacing w:after="0" w:line="1" w:lineRule="exact"/>
        <w:rPr>
          <w:rFonts w:ascii="Times New Roman" w:cs="Times New Roman" w:eastAsia="Times New Roman" w:hAnsi="Times New Roman"/>
          <w:sz w:val="15"/>
          <w:szCs w:val="15"/>
          <w:color w:val="auto"/>
        </w:rPr>
      </w:pPr>
    </w:p>
    <w:p>
      <w:pPr>
        <w:ind w:left="680" w:right="679" w:hanging="388"/>
        <w:spacing w:after="0" w:line="239" w:lineRule="auto"/>
        <w:tabs>
          <w:tab w:leader="none" w:pos="6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set forth in a Schedule 13G filed with the SEC on April 13, 2023 by Great Point Partners, LLC (“Great Point”), Jeffrey R. Jay, M.D., and Ortav Yehudai. Great Point is an investment manager and by virtue of such status may be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3" w:name="page24"/>
    <w:bookmarkEnd w:id="23"/>
    <w:p>
      <w:pPr>
        <w:ind w:left="680" w:right="359"/>
        <w:spacing w:after="0"/>
        <w:rPr>
          <w:sz w:val="20"/>
          <w:szCs w:val="20"/>
          <w:color w:val="auto"/>
        </w:rPr>
      </w:pPr>
      <w:r>
        <w:rPr>
          <w:rFonts w:ascii="Times New Roman" w:cs="Times New Roman" w:eastAsia="Times New Roman" w:hAnsi="Times New Roman"/>
          <w:sz w:val="15"/>
          <w:szCs w:val="15"/>
          <w:color w:val="auto"/>
        </w:rPr>
        <w:t>deemed to be the beneficial owner of shares of common stock. Each of Dr. Jay, as Senior Managing Member of Great Point, and Mr. Yehudai, as Managing Director of Great Point, has voting and investment power with respect to such shares of common stock, and therefore may be deemed to be the beneficial owner of such shares of common stock. The Schedule 13G indicates each of Great Point, Dr. Jay, and Mr. Yehudai each has shared voting and dispositive power with respect to 6,360,161 shares of common stock.</w:t>
      </w:r>
    </w:p>
    <w:p>
      <w:pPr>
        <w:spacing w:after="0" w:line="126" w:lineRule="exact"/>
        <w:rPr>
          <w:sz w:val="20"/>
          <w:szCs w:val="20"/>
          <w:color w:val="auto"/>
        </w:rPr>
      </w:pPr>
    </w:p>
    <w:p>
      <w:pPr>
        <w:ind w:left="680" w:hanging="388"/>
        <w:spacing w:after="0"/>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2,367 shares of common stock underlying restricted stock units vesting within 60 days of the Record Date.</w:t>
      </w:r>
    </w:p>
    <w:p>
      <w:pPr>
        <w:ind w:left="680" w:right="539" w:hanging="388"/>
        <w:spacing w:after="0" w:line="225" w:lineRule="auto"/>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12,796 shares of common stock and 75,108 shares of common stock underlying stock options exercisable within 60 days of the Record Date.</w:t>
      </w:r>
    </w:p>
    <w:p>
      <w:pPr>
        <w:ind w:left="680" w:right="479" w:hanging="388"/>
        <w:spacing w:after="0" w:line="225" w:lineRule="auto"/>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13,292 shares of common stock and 283,983 shares of common stock underlying stock options exercisable within 60 days of the Record Date.</w:t>
      </w:r>
    </w:p>
    <w:p>
      <w:pPr>
        <w:jc w:val="both"/>
        <w:ind w:left="680" w:right="539" w:hanging="388"/>
        <w:spacing w:after="0" w:line="225" w:lineRule="auto"/>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540,000 shares of common stock, 2,367 shares of common stock underlying restricted stock units vesting within 60 days of the Record Date and 14,205 shares of common stock underlying stock options exercisable within 60 days of the Record Date.</w:t>
      </w:r>
    </w:p>
    <w:p>
      <w:pPr>
        <w:ind w:left="680" w:right="439" w:hanging="388"/>
        <w:spacing w:after="0" w:line="225" w:lineRule="auto"/>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4,500,000 shares of common stock, 2,367 shares of common stock underlying restricted stock units vesting within 60 days of the Record Date and 14,205 shares of common stock underlying stock options exercisable within 60 days of the Record Date.</w:t>
      </w:r>
    </w:p>
    <w:p>
      <w:pPr>
        <w:ind w:left="680" w:right="539" w:hanging="388"/>
        <w:spacing w:after="0" w:line="225" w:lineRule="auto"/>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12,796 shares of common stock and 75,108 shares of common stock underlying stock options exercisable within 60 days of the Record Date.</w:t>
      </w:r>
    </w:p>
    <w:p>
      <w:pPr>
        <w:ind w:left="680" w:right="479" w:hanging="388"/>
        <w:spacing w:after="0" w:line="225" w:lineRule="auto"/>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13,652 shares of common stock and 172,758 shares of common stock underlying stock options exercisable within 60 days of the Record Date.</w:t>
      </w:r>
    </w:p>
    <w:p>
      <w:pPr>
        <w:ind w:left="680" w:right="319" w:hanging="388"/>
        <w:spacing w:after="0" w:line="225" w:lineRule="auto"/>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23,933 shares of common stock, 5,814 shares of common stock underlying restricted stock units vesting within 60 days of the Record Date and 865,445 shares of common stock underlying stock options exercisable within 60 days of the Record Date.</w:t>
      </w:r>
    </w:p>
    <w:p>
      <w:pPr>
        <w:ind w:left="680" w:right="319" w:hanging="388"/>
        <w:spacing w:after="0" w:line="225" w:lineRule="auto"/>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26,150 shares of common stock, 5,814 shares of common stock underlying restricted stock units vesting within 60 days of the Record Date and 796,341 shares of common stock underlying stock options exercisable within 60 days of the Record Date.</w:t>
      </w:r>
    </w:p>
    <w:p>
      <w:pPr>
        <w:jc w:val="both"/>
        <w:ind w:left="680" w:right="439" w:hanging="388"/>
        <w:spacing w:after="0" w:line="225" w:lineRule="auto"/>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177,989 shares of common stock, 73,698 shares of common stock underlying restricted stock units vesting within 60 days of the Record Date. Dr. Quart ceased to serve as our Chief Executive Officer, Chairman of the Board, and as a director as of April 3, 2023.</w:t>
      </w:r>
    </w:p>
    <w:p>
      <w:pPr>
        <w:jc w:val="both"/>
        <w:ind w:left="680" w:right="359" w:hanging="388"/>
        <w:spacing w:after="0" w:line="234" w:lineRule="auto"/>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5,164,680 shares of common stock, 21,213 shares of common stock underlying restricted stock units vesting within 60 days of the Record Date and 2,610,941 shares of common stock underlying stock options exercisable within 60 days of the Record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Person Transactions Policies</w:t>
      </w:r>
    </w:p>
    <w:p>
      <w:pPr>
        <w:spacing w:after="0" w:line="121" w:lineRule="exact"/>
        <w:rPr>
          <w:sz w:val="20"/>
          <w:szCs w:val="20"/>
          <w:color w:val="auto"/>
        </w:rPr>
      </w:pPr>
    </w:p>
    <w:p>
      <w:pPr>
        <w:ind w:left="300" w:right="339" w:firstLine="441"/>
        <w:spacing w:after="0" w:line="252" w:lineRule="auto"/>
        <w:rPr>
          <w:sz w:val="20"/>
          <w:szCs w:val="20"/>
          <w:color w:val="auto"/>
        </w:rPr>
      </w:pPr>
      <w:r>
        <w:rPr>
          <w:rFonts w:ascii="Times New Roman" w:cs="Times New Roman" w:eastAsia="Times New Roman" w:hAnsi="Times New Roman"/>
          <w:sz w:val="18"/>
          <w:szCs w:val="18"/>
          <w:color w:val="auto"/>
        </w:rPr>
        <w:t>Pursuant to our Code of Ethics and Business Conduct, our executive officers, directors and employees must disclose transactions involving actual or apparent conflicts of interest, such as related person transactions, to the Chairman of the Board. Additionally, the Audit Committee is responsible for review and approval of all related person transactions in which any officer, director or stockholder has a direct or indirect interest and would be required to be disclosed under Items 404(a) and 404(d) of Regulation S-K, and has written policies and procedures for reviewing, approving or ratifying any transaction required to be reported under Items 404(a) and 404(d) of Regulation S-K. In reviewing related person transactions, the Audit Committee evaluates any transaction in which the Company was or is to be a participant and the amount involved exceeds the lesser of $120,000 or 1% of the average of the Company’s total assets at year end for the last two completed fiscal years, and in which the “related person” (as defined in Item 404(a) of Regulation S-K) had, or will have, a direct or indirect material interest. The Audit Committee also will consider whether the proposed terms are at least as favorable to the Company as could be obtained from unaffiliated third parties and will confirm that there is a bona fide business purpose for the transaction. There were no related person transactions since the beginning of the Company’s last two completed fiscal years that require disclosure under Item 404 of Regulation S-K.</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9" w:lineRule="exact"/>
        <w:rPr>
          <w:sz w:val="20"/>
          <w:szCs w:val="20"/>
          <w:color w:val="auto"/>
        </w:rPr>
      </w:pPr>
    </w:p>
    <w:p>
      <w:pPr>
        <w:jc w:val="both"/>
        <w:ind w:left="300" w:right="659" w:firstLine="441"/>
        <w:spacing w:after="0" w:line="266" w:lineRule="auto"/>
        <w:rPr>
          <w:sz w:val="20"/>
          <w:szCs w:val="20"/>
          <w:color w:val="auto"/>
        </w:rPr>
      </w:pPr>
      <w:r>
        <w:rPr>
          <w:rFonts w:ascii="Times New Roman" w:cs="Times New Roman" w:eastAsia="Times New Roman" w:hAnsi="Times New Roman"/>
          <w:sz w:val="18"/>
          <w:szCs w:val="18"/>
          <w:color w:val="auto"/>
        </w:rPr>
        <w:t>The following information describes the material elements of compensation earned in 2022 by each of the executive officers identified in the Summary Compensation Table below, who are referred to collectively as our “</w:t>
      </w:r>
      <w:r>
        <w:rPr>
          <w:rFonts w:ascii="Times New Roman" w:cs="Times New Roman" w:eastAsia="Times New Roman" w:hAnsi="Times New Roman"/>
          <w:sz w:val="18"/>
          <w:szCs w:val="18"/>
          <w:b w:val="1"/>
          <w:bCs w:val="1"/>
          <w:i w:val="1"/>
          <w:iCs w:val="1"/>
          <w:color w:val="auto"/>
        </w:rPr>
        <w:t>Named Executive Officers</w:t>
      </w:r>
      <w:r>
        <w:rPr>
          <w:rFonts w:ascii="Times New Roman" w:cs="Times New Roman" w:eastAsia="Times New Roman" w:hAnsi="Times New Roman"/>
          <w:sz w:val="18"/>
          <w:szCs w:val="18"/>
          <w:color w:val="auto"/>
        </w:rPr>
        <w:t>.” Our Named Executive Officers with respect to 2022 were:</w:t>
      </w:r>
    </w:p>
    <w:p>
      <w:pPr>
        <w:spacing w:after="0" w:line="68" w:lineRule="exact"/>
        <w:rPr>
          <w:sz w:val="20"/>
          <w:szCs w:val="20"/>
          <w:color w:val="auto"/>
        </w:rPr>
      </w:pPr>
    </w:p>
    <w:p>
      <w:pPr>
        <w:ind w:left="900" w:hanging="28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Barry Quart, Pharm.D., former Chief Executive Officer and former Chairman of the Board;</w:t>
      </w:r>
    </w:p>
    <w:p>
      <w:pPr>
        <w:spacing w:after="0" w:line="117" w:lineRule="exact"/>
        <w:rPr>
          <w:rFonts w:ascii="Times New Roman" w:cs="Times New Roman" w:eastAsia="Times New Roman" w:hAnsi="Times New Roman"/>
          <w:sz w:val="18"/>
          <w:szCs w:val="18"/>
          <w:color w:val="auto"/>
        </w:rPr>
      </w:pPr>
    </w:p>
    <w:p>
      <w:pPr>
        <w:ind w:left="900" w:hanging="28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Kimberly Manhard, Executive Vice President, Drug Development; and</w:t>
      </w:r>
    </w:p>
    <w:p>
      <w:pPr>
        <w:spacing w:after="0" w:line="117" w:lineRule="exact"/>
        <w:rPr>
          <w:rFonts w:ascii="Times New Roman" w:cs="Times New Roman" w:eastAsia="Times New Roman" w:hAnsi="Times New Roman"/>
          <w:sz w:val="18"/>
          <w:szCs w:val="18"/>
          <w:color w:val="auto"/>
        </w:rPr>
      </w:pPr>
    </w:p>
    <w:p>
      <w:pPr>
        <w:ind w:left="900" w:hanging="28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Szekeres, Executive Vice President, Chief Operating Officer.</w:t>
      </w:r>
    </w:p>
    <w:p>
      <w:pPr>
        <w:spacing w:after="0" w:line="225" w:lineRule="exact"/>
        <w:rPr>
          <w:sz w:val="20"/>
          <w:szCs w:val="20"/>
          <w:color w:val="auto"/>
        </w:rPr>
      </w:pPr>
    </w:p>
    <w:p>
      <w:pPr>
        <w:ind w:left="300" w:right="319" w:firstLine="441"/>
        <w:spacing w:after="0" w:line="266" w:lineRule="auto"/>
        <w:rPr>
          <w:sz w:val="20"/>
          <w:szCs w:val="20"/>
          <w:color w:val="auto"/>
        </w:rPr>
      </w:pPr>
      <w:r>
        <w:rPr>
          <w:rFonts w:ascii="Times New Roman" w:cs="Times New Roman" w:eastAsia="Times New Roman" w:hAnsi="Times New Roman"/>
          <w:sz w:val="18"/>
          <w:szCs w:val="18"/>
          <w:color w:val="auto"/>
        </w:rPr>
        <w:t>These persons constituted our principal executive officer and our next two most highly compensated executive officers, all serving during 2022. The 2022 compensation information provided below includes payments that were made in 2023 when such payments related to performance in 2022.</w:t>
      </w:r>
    </w:p>
    <w:p>
      <w:pPr>
        <w:spacing w:after="0" w:line="176" w:lineRule="exact"/>
        <w:rPr>
          <w:sz w:val="20"/>
          <w:szCs w:val="20"/>
          <w:color w:val="auto"/>
        </w:rPr>
      </w:pPr>
    </w:p>
    <w:p>
      <w:pPr>
        <w:ind w:left="300" w:right="399" w:firstLine="441"/>
        <w:spacing w:after="0" w:line="281" w:lineRule="auto"/>
        <w:rPr>
          <w:sz w:val="20"/>
          <w:szCs w:val="20"/>
          <w:color w:val="auto"/>
        </w:rPr>
      </w:pPr>
      <w:r>
        <w:rPr>
          <w:rFonts w:ascii="Times New Roman" w:cs="Times New Roman" w:eastAsia="Times New Roman" w:hAnsi="Times New Roman"/>
          <w:sz w:val="17"/>
          <w:szCs w:val="17"/>
          <w:color w:val="auto"/>
        </w:rPr>
        <w:t>We are a commercial-stage biotechnology company focused on improving the lives of patients by developing and commercializing therapeutic innovations that improve medical care. Our advanced science, patented technologies, and innovative approach to drug discovery and development have allowed us to create and commercialize a portfolio of products that aim to advance the standard of care for acute care and oncology patients.</w:t>
      </w:r>
    </w:p>
    <w:p>
      <w:pPr>
        <w:spacing w:after="0" w:line="164" w:lineRule="exact"/>
        <w:rPr>
          <w:sz w:val="20"/>
          <w:szCs w:val="20"/>
          <w:color w:val="auto"/>
        </w:rPr>
      </w:pPr>
    </w:p>
    <w:p>
      <w:pPr>
        <w:ind w:left="300" w:right="319" w:firstLine="441"/>
        <w:spacing w:after="0" w:line="233" w:lineRule="auto"/>
        <w:rPr>
          <w:sz w:val="20"/>
          <w:szCs w:val="20"/>
          <w:color w:val="auto"/>
        </w:rPr>
      </w:pPr>
      <w:r>
        <w:rPr>
          <w:rFonts w:ascii="Times New Roman" w:cs="Times New Roman" w:eastAsia="Times New Roman" w:hAnsi="Times New Roman"/>
          <w:sz w:val="18"/>
          <w:szCs w:val="18"/>
          <w:color w:val="auto"/>
        </w:rPr>
        <w:t>Key highlights of the Company’s 2022 achievements and success include preparation and submission of a supplemental New Drug Application (“</w:t>
      </w:r>
      <w:r>
        <w:rPr>
          <w:rFonts w:ascii="Times New Roman" w:cs="Times New Roman" w:eastAsia="Times New Roman" w:hAnsi="Times New Roman"/>
          <w:sz w:val="18"/>
          <w:szCs w:val="18"/>
          <w:b w:val="1"/>
          <w:bCs w:val="1"/>
          <w:i w:val="1"/>
          <w:iCs w:val="1"/>
          <w:color w:val="auto"/>
        </w:rPr>
        <w:t>NDA</w:t>
      </w:r>
      <w:r>
        <w:rPr>
          <w:rFonts w:ascii="Times New Roman" w:cs="Times New Roman" w:eastAsia="Times New Roman" w:hAnsi="Times New Roman"/>
          <w:sz w:val="18"/>
          <w:szCs w:val="18"/>
          <w:color w:val="auto"/>
        </w:rPr>
        <w:t>”) with the U.S. Food and Drug Administration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to expand the indication statement for ZYNRELEF</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obtaining FDA approval of the NDA for APONVIE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which is indicated for the prevention of postoperative nausea and vomiting; completion of conversion to larger scale manufacturing of both ZYNRELEF and CINVANTI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achievement of $107M in net product sales. These achievements and others expanded the opportunity for future growth and long-term success.</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40" w:type="dxa"/>
            <w:vAlign w:val="bottom"/>
          </w:tcPr>
          <w:p>
            <w:pPr>
              <w:spacing w:after="0"/>
              <w:rPr>
                <w:sz w:val="12"/>
                <w:szCs w:val="12"/>
                <w:color w:val="auto"/>
              </w:rPr>
            </w:pP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17"/>
                <w:szCs w:val="17"/>
                <w:b w:val="1"/>
                <w:bCs w:val="1"/>
                <w:color w:val="auto"/>
                <w:vertAlign w:val="superscript"/>
              </w:rPr>
              <w:t>(3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5"/>
                <w:szCs w:val="15"/>
                <w:b w:val="1"/>
                <w:bCs w:val="1"/>
                <w:color w:val="auto"/>
                <w:vertAlign w:val="superscript"/>
              </w:rPr>
              <w:t>(1)</w:t>
            </w:r>
          </w:p>
        </w:tc>
        <w:tc>
          <w:tcPr>
            <w:tcW w:w="180" w:type="dxa"/>
            <w:vAlign w:val="bottom"/>
          </w:tcPr>
          <w:p>
            <w:pPr>
              <w:spacing w:after="0"/>
              <w:rPr>
                <w:sz w:val="11"/>
                <w:szCs w:val="11"/>
                <w:color w:val="auto"/>
              </w:rPr>
            </w:pPr>
          </w:p>
        </w:tc>
        <w:tc>
          <w:tcPr>
            <w:tcW w:w="620" w:type="dxa"/>
            <w:vAlign w:val="bottom"/>
            <w:tcBorders>
              <w:bottom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5"/>
                <w:szCs w:val="15"/>
                <w:b w:val="1"/>
                <w:bCs w:val="1"/>
                <w:color w:val="auto"/>
                <w:vertAlign w:val="superscript"/>
              </w:rPr>
              <w:t>(1)</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4"/>
              <w:spacing w:after="0" w:line="135" w:lineRule="exact"/>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15"/>
                <w:szCs w:val="15"/>
                <w:b w:val="1"/>
                <w:bCs w:val="1"/>
                <w:color w:val="auto"/>
                <w:vertAlign w:val="superscript"/>
              </w:rPr>
              <w:t>(2)</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9"/>
                <w:szCs w:val="9"/>
                <w:b w:val="1"/>
                <w:bCs w:val="1"/>
                <w:color w:val="auto"/>
              </w:rPr>
              <w:t>)</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2"/>
                <w:szCs w:val="12"/>
                <w:color w:val="auto"/>
              </w:rPr>
              <w:t>Barry Quart, Pharm.D.</w:t>
            </w:r>
            <w:r>
              <w:rPr>
                <w:rFonts w:ascii="Times New Roman" w:cs="Times New Roman" w:eastAsia="Times New Roman" w:hAnsi="Times New Roman"/>
                <w:sz w:val="16"/>
                <w:szCs w:val="16"/>
                <w:color w:val="auto"/>
                <w:vertAlign w:val="superscript"/>
              </w:rPr>
              <w:t>(4)</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1,145,70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2022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736,000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386,400</w:t>
            </w:r>
          </w:p>
        </w:tc>
        <w:tc>
          <w:tcPr>
            <w:tcW w:w="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Former Chief Executive Officer</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2,061,64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2,268,47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5,430,82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20" w:type="dxa"/>
            <w:vAlign w:val="bottom"/>
          </w:tcPr>
          <w:p>
            <w:pPr>
              <w:spacing w:after="0"/>
              <w:rPr>
                <w:sz w:val="15"/>
                <w:szCs w:val="15"/>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2021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392,000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Kimberly Manhard</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1,447,10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2022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545,834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441,456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235,482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204,688</w:t>
            </w:r>
          </w:p>
        </w:tc>
        <w:tc>
          <w:tcPr>
            <w:tcW w:w="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19,647</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Executive Vice President, Drug</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Development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2021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514,937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583,626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535,147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205,975</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18,893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David Szekeres</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1,429,23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2022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533,013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441,456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235,482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199,880</w:t>
            </w:r>
          </w:p>
        </w:tc>
        <w:tc>
          <w:tcPr>
            <w:tcW w:w="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19,400</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Executive Vice President, Chief</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2021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494,400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583,626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535,147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197,760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18,498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1,829,43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Commercial Officer</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00" w:right="379" w:hanging="8"/>
        <w:spacing w:after="0" w:line="221" w:lineRule="auto"/>
        <w:tabs>
          <w:tab w:leader="none" w:pos="50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aggregate grant date fair value, computed in accordance with Financial Accounting Standards Board (“FASB”) Accounting Standard Codification (“ASC”) Topic 718 for stock awards and options granted to the Named Executive Officers in 2022 and 2021. The assumptions used in calculating the fair value of the stock awards and options can be found under Note 10 to the Financial Statements in our Annual Report on Form 10-K for the year ended December 31, 2022. These amounts reflect the grant date fair value for these stock awards and options and do not necessarily correspond to the actual value that will be realized by the Named Executive Officers. The grant date fair value of the equity awards granted in 2022, as reflected under “Stock Awards” and “Option Awards,” represents a special retention grant. For additional information on stock awards and options granted to the Named Executive Officers in 2022 and in prior years, see below under “Outstanding Equity Awards at Fiscal Year-End.”</w:t>
      </w:r>
    </w:p>
    <w:p>
      <w:pPr>
        <w:spacing w:after="0" w:line="2" w:lineRule="exact"/>
        <w:rPr>
          <w:rFonts w:ascii="Times New Roman" w:cs="Times New Roman" w:eastAsia="Times New Roman" w:hAnsi="Times New Roman"/>
          <w:sz w:val="14"/>
          <w:szCs w:val="14"/>
          <w:color w:val="auto"/>
        </w:rPr>
      </w:pPr>
    </w:p>
    <w:p>
      <w:pPr>
        <w:ind w:left="300" w:right="599" w:hanging="8"/>
        <w:spacing w:after="0" w:line="221" w:lineRule="auto"/>
        <w:tabs>
          <w:tab w:leader="none" w:pos="50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listed represent cash awards earned for the year under the Company’s annual cash incentive bonus program. For additional information regarding the annual cash incentive bonus program, see below under “Executive Compensation-Compensation Elements-Annual Cash Incentive Bonus.”</w:t>
      </w:r>
    </w:p>
    <w:p>
      <w:pPr>
        <w:ind w:left="300" w:right="499" w:hanging="8"/>
        <w:spacing w:after="0" w:line="221" w:lineRule="auto"/>
        <w:tabs>
          <w:tab w:leader="none" w:pos="50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Compensation” listed for 2022 consist of our matching contributions on behalf of the named individual to our 401(k) Plan and a cash out of accrued vacation.</w:t>
      </w:r>
    </w:p>
    <w:p>
      <w:pPr>
        <w:ind w:left="500" w:hanging="208"/>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Quart ceased to serve as our Chief Executive Officer, Chairman of the Board, and as a director as of April 3,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121" w:lineRule="exact"/>
        <w:rPr>
          <w:sz w:val="20"/>
          <w:szCs w:val="20"/>
          <w:color w:val="auto"/>
        </w:rPr>
      </w:pPr>
    </w:p>
    <w:p>
      <w:pPr>
        <w:ind w:left="300" w:right="639" w:firstLine="486"/>
        <w:spacing w:after="0" w:line="266" w:lineRule="auto"/>
        <w:rPr>
          <w:sz w:val="20"/>
          <w:szCs w:val="20"/>
          <w:color w:val="auto"/>
        </w:rPr>
      </w:pPr>
      <w:r>
        <w:rPr>
          <w:rFonts w:ascii="Times New Roman" w:cs="Times New Roman" w:eastAsia="Times New Roman" w:hAnsi="Times New Roman"/>
          <w:sz w:val="18"/>
          <w:szCs w:val="18"/>
          <w:color w:val="auto"/>
        </w:rPr>
        <w:t>We designed our executive compensation program to reward our executive officers, including our Named Executive Officers, at a level consistent with our overall company performance and to provide remuneration sufficient to attract, retain, and motivate them to exert their best efforts.</w:t>
      </w:r>
    </w:p>
    <w:p>
      <w:pPr>
        <w:spacing w:after="0" w:line="176" w:lineRule="exact"/>
        <w:rPr>
          <w:sz w:val="20"/>
          <w:szCs w:val="20"/>
          <w:color w:val="auto"/>
        </w:rPr>
      </w:pPr>
    </w:p>
    <w:p>
      <w:pPr>
        <w:ind w:left="300" w:right="479" w:firstLine="441"/>
        <w:spacing w:after="0" w:line="236" w:lineRule="auto"/>
        <w:rPr>
          <w:sz w:val="20"/>
          <w:szCs w:val="20"/>
          <w:color w:val="auto"/>
        </w:rPr>
      </w:pPr>
      <w:r>
        <w:rPr>
          <w:rFonts w:ascii="Times New Roman" w:cs="Times New Roman" w:eastAsia="Times New Roman" w:hAnsi="Times New Roman"/>
          <w:sz w:val="18"/>
          <w:szCs w:val="18"/>
          <w:color w:val="auto"/>
        </w:rPr>
        <w:t>Our corporate compensation philosophy targets annual base salary, annual incentive bonus target, and equity awards at or near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market when compared to executives with similar roles at similar organizations.</w:t>
      </w:r>
    </w:p>
    <w:p>
      <w:pPr>
        <w:spacing w:after="0" w:line="199" w:lineRule="exact"/>
        <w:rPr>
          <w:sz w:val="20"/>
          <w:szCs w:val="20"/>
          <w:color w:val="auto"/>
        </w:rPr>
      </w:pPr>
    </w:p>
    <w:p>
      <w:pPr>
        <w:ind w:left="300" w:right="339" w:firstLine="441"/>
        <w:spacing w:after="0" w:line="254" w:lineRule="auto"/>
        <w:rPr>
          <w:sz w:val="20"/>
          <w:szCs w:val="20"/>
          <w:color w:val="auto"/>
        </w:rPr>
      </w:pPr>
      <w:r>
        <w:rPr>
          <w:rFonts w:ascii="Times New Roman" w:cs="Times New Roman" w:eastAsia="Times New Roman" w:hAnsi="Times New Roman"/>
          <w:sz w:val="18"/>
          <w:szCs w:val="18"/>
          <w:color w:val="auto"/>
        </w:rPr>
        <w:t>In implementing the foregoing objectives, our executive compensation program is based on three primary components: (i) base salary; (ii) annual cash incentive bonuses; and (iii) equity-based compensation. The Compensation Committee believes that compensation in the form of base salary, an annual cash incentive bonus, and short term incentive equity awards provides our Named Executive Officers with short-term rewards for success in operational performance and meeting established goals and business responsibilities, while compensation through long term incentive equity awards aligns the objectives of our management team with those of our stockholders with respect to long-term performance and success. In addition, our Named Executive Officers receive benefits that are generally available to all our employees.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Roles in Determining Compensation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300" w:right="339" w:firstLine="441"/>
        <w:spacing w:after="0" w:line="254" w:lineRule="auto"/>
        <w:rPr>
          <w:sz w:val="20"/>
          <w:szCs w:val="20"/>
          <w:color w:val="auto"/>
        </w:rPr>
      </w:pPr>
      <w:r>
        <w:rPr>
          <w:rFonts w:ascii="Times New Roman" w:cs="Times New Roman" w:eastAsia="Times New Roman" w:hAnsi="Times New Roman"/>
          <w:sz w:val="18"/>
          <w:szCs w:val="18"/>
          <w:color w:val="auto"/>
        </w:rPr>
        <w:t>For 2022, the Compensation Committee reviewed the appropriateness of the target total compensation of our Named Executive Officers. The Compensation Committee engaged in this evaluation while also considering market and industry practices, and whether the compensation program was achieving its objectives consistent with our compensation philosophy. The Compensation Committee oversaw and approved all compensation arrangements and actions for our Named Executive Officers and other key employees in 2022. While the Compensation Committee drew on a number of resources, including input from the Chairman and Chief Executive Officer, to make decisions regarding the Company’s executive compensation program, ultimate decision-making authority rested with the Compensation Committee.</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Consultant</w:t>
      </w:r>
    </w:p>
    <w:p>
      <w:pPr>
        <w:spacing w:after="0" w:line="115" w:lineRule="exact"/>
        <w:rPr>
          <w:sz w:val="20"/>
          <w:szCs w:val="20"/>
          <w:color w:val="auto"/>
        </w:rPr>
      </w:pPr>
    </w:p>
    <w:p>
      <w:pPr>
        <w:ind w:left="300" w:right="339" w:firstLine="441"/>
        <w:spacing w:after="0" w:line="254" w:lineRule="auto"/>
        <w:rPr>
          <w:sz w:val="20"/>
          <w:szCs w:val="20"/>
          <w:color w:val="auto"/>
        </w:rPr>
      </w:pPr>
      <w:r>
        <w:rPr>
          <w:rFonts w:ascii="Times New Roman" w:cs="Times New Roman" w:eastAsia="Times New Roman" w:hAnsi="Times New Roman"/>
          <w:sz w:val="18"/>
          <w:szCs w:val="18"/>
          <w:color w:val="auto"/>
        </w:rPr>
        <w:t>In 2022, the Compensation Committee engaged the services of Compensia, Inc. (“</w:t>
      </w:r>
      <w:r>
        <w:rPr>
          <w:rFonts w:ascii="Times New Roman" w:cs="Times New Roman" w:eastAsia="Times New Roman" w:hAnsi="Times New Roman"/>
          <w:sz w:val="18"/>
          <w:szCs w:val="18"/>
          <w:b w:val="1"/>
          <w:bCs w:val="1"/>
          <w:i w:val="1"/>
          <w:iCs w:val="1"/>
          <w:color w:val="auto"/>
        </w:rPr>
        <w:t>Compensia</w:t>
      </w:r>
      <w:r>
        <w:rPr>
          <w:rFonts w:ascii="Times New Roman" w:cs="Times New Roman" w:eastAsia="Times New Roman" w:hAnsi="Times New Roman"/>
          <w:sz w:val="18"/>
          <w:szCs w:val="18"/>
          <w:color w:val="auto"/>
        </w:rPr>
        <w:t>”), a national independent compensation advisory firm that has extensive experience with biotechnology companies and specializes in executive compensation. The directive for Compensia was to assist the Compensation Committee in its review of executive and director compensation practices, including the competitiveness of pay levels, executive compensation design and review and analysis of competitive market data with respect to the Company’s peers in the industry. The Compensation Committee has the final authority to engage and terminate services for consultants it may utilize. The decision to engage Compensia was not made or recommended by our management, and Compensia did not provide any services to us outside of its services to the Compensation Committee. The Compensation Committee, after a review of the factors set forth in Section 10C(b)(2) of the Exchange Act and Rule 10C-1(b)(4) under the Exchange Act, has determined that the work performed by Compensia did not present any conflicts of interest.</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Former Chief Executive Officer and Former Chairman of the Board</w:t>
      </w:r>
    </w:p>
    <w:p>
      <w:pPr>
        <w:spacing w:after="0" w:line="119" w:lineRule="exact"/>
        <w:rPr>
          <w:sz w:val="20"/>
          <w:szCs w:val="20"/>
          <w:color w:val="auto"/>
        </w:rPr>
      </w:pPr>
    </w:p>
    <w:p>
      <w:pPr>
        <w:ind w:left="300" w:right="399" w:firstLine="441"/>
        <w:spacing w:after="0" w:line="273" w:lineRule="auto"/>
        <w:rPr>
          <w:sz w:val="20"/>
          <w:szCs w:val="20"/>
          <w:color w:val="auto"/>
        </w:rPr>
      </w:pPr>
      <w:r>
        <w:rPr>
          <w:rFonts w:ascii="Times New Roman" w:cs="Times New Roman" w:eastAsia="Times New Roman" w:hAnsi="Times New Roman"/>
          <w:sz w:val="17"/>
          <w:szCs w:val="17"/>
          <w:color w:val="auto"/>
        </w:rPr>
        <w:t>In 2022, our former Chief Executive Officer and former Chairman of the Board attended Compensation Committee meetings at which executive compensation (other than his compensation) was discussed, and he worked with the Compensation Committee to develop compensation recommendations for the Named Executive Officers (apart from himself), based on individual experience and breadth of knowledge, internal considerations, individual performance during the relevant year and other factors deemed relevant by the Compensation Committee. The former Chief Executive Officer’s and Chairman of the Board’s input was one of the factors considered by the Compensation Committee in determining overall compensation for the other Named Executive Officers and other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27" w:name="page28"/>
    <w:bookmarkEnd w:id="27"/>
    <w:p>
      <w:pPr>
        <w:ind w:left="300" w:right="879"/>
        <w:spacing w:after="0" w:line="266" w:lineRule="auto"/>
        <w:rPr>
          <w:sz w:val="20"/>
          <w:szCs w:val="20"/>
          <w:color w:val="auto"/>
        </w:rPr>
      </w:pPr>
      <w:r>
        <w:rPr>
          <w:rFonts w:ascii="Times New Roman" w:cs="Times New Roman" w:eastAsia="Times New Roman" w:hAnsi="Times New Roman"/>
          <w:sz w:val="18"/>
          <w:szCs w:val="18"/>
          <w:color w:val="auto"/>
        </w:rPr>
        <w:t>key employees. The Compensation Committee used Compensia’s analysis to formulate compensation recommendations for the former Chief Executive Officer and former Chairman of the Board, and discussions regarding his compensation were held by the Compensation Committee in an executive session.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Competitive Market Review</w:t>
      </w:r>
    </w:p>
    <w:p>
      <w:pPr>
        <w:spacing w:after="0" w:line="121" w:lineRule="exact"/>
        <w:rPr>
          <w:sz w:val="20"/>
          <w:szCs w:val="20"/>
          <w:color w:val="auto"/>
        </w:rPr>
      </w:pPr>
    </w:p>
    <w:p>
      <w:pPr>
        <w:ind w:left="300" w:right="319" w:firstLine="441"/>
        <w:spacing w:after="0" w:line="253" w:lineRule="auto"/>
        <w:rPr>
          <w:sz w:val="20"/>
          <w:szCs w:val="20"/>
          <w:color w:val="auto"/>
        </w:rPr>
      </w:pPr>
      <w:r>
        <w:rPr>
          <w:rFonts w:ascii="Times New Roman" w:cs="Times New Roman" w:eastAsia="Times New Roman" w:hAnsi="Times New Roman"/>
          <w:sz w:val="18"/>
          <w:szCs w:val="18"/>
          <w:color w:val="auto"/>
        </w:rPr>
        <w:t>In 2022, the Compensation Committee retained Compensia to assist with identifying a group of peer companies within the biotechnology/biopharmaceutical industry with similar identified characteristics to our Company to be used to assess compensation levels for the top senior management positions and non-employee directors. Compensia was significantly involved in the process of selecting an appropriate peer group for our Company and in collecting and analyzing compensation data of the companies within our peer group. The information regarding the compensation practices at other companies is useful in at least two respects. First, to assess the competitiveness of our compensation policies and practices in the marketplace, and secondly, to assess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Named Executive Officers. In addition, for executive positions, which may not be reported as Named Executive Officers, the Compensation Committee reviewed other broader market surveys within our industry.</w:t>
      </w:r>
    </w:p>
    <w:p>
      <w:pPr>
        <w:spacing w:after="0" w:line="190" w:lineRule="exact"/>
        <w:rPr>
          <w:sz w:val="20"/>
          <w:szCs w:val="20"/>
          <w:color w:val="auto"/>
        </w:rPr>
      </w:pPr>
    </w:p>
    <w:p>
      <w:pPr>
        <w:ind w:left="300" w:right="439" w:firstLine="441"/>
        <w:spacing w:after="0" w:line="266" w:lineRule="auto"/>
        <w:rPr>
          <w:sz w:val="20"/>
          <w:szCs w:val="20"/>
          <w:color w:val="auto"/>
        </w:rPr>
      </w:pPr>
      <w:r>
        <w:rPr>
          <w:rFonts w:ascii="Times New Roman" w:cs="Times New Roman" w:eastAsia="Times New Roman" w:hAnsi="Times New Roman"/>
          <w:sz w:val="18"/>
          <w:szCs w:val="18"/>
          <w:color w:val="auto"/>
        </w:rPr>
        <w:t>In developing the peer group for 2022, the criteria that were used to identify the peer companies were market capitalization (ranging from $235 million to $1.3 billion) and current stage of product development or business activity (at the commercial stage). The 18 companies in the peer group for 2022 are listed below.</w:t>
      </w:r>
    </w:p>
    <w:p>
      <w:pPr>
        <w:sectPr>
          <w:pgSz w:w="11900" w:h="16838" w:orient="portrait"/>
          <w:cols w:equalWidth="0" w:num="1">
            <w:col w:w="9019"/>
          </w:cols>
          <w:pgMar w:left="1440" w:top="229" w:right="1440" w:bottom="1440" w:gutter="0" w:footer="0" w:header="0"/>
        </w:sectPr>
      </w:pP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Aerie Pharmaceuticals, Inc.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G1 Therapeutics, Inc.</w:t>
      </w:r>
    </w:p>
    <w:p>
      <w:pPr>
        <w:spacing w:after="0" w:line="48" w:lineRule="exact"/>
        <w:rPr>
          <w:sz w:val="20"/>
          <w:szCs w:val="20"/>
          <w:color w:val="auto"/>
        </w:rPr>
      </w:pPr>
    </w:p>
    <w:p>
      <w:pPr>
        <w:sectPr>
          <w:pgSz w:w="11900" w:h="16838" w:orient="portrait"/>
          <w:cols w:equalWidth="0" w:num="2">
            <w:col w:w="3520" w:space="720"/>
            <w:col w:w="4779"/>
          </w:cols>
          <w:pgMar w:left="1440" w:top="229"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Albireo Pharma,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Intercept Pharmaceuticals, Inc.</w:t>
      </w:r>
    </w:p>
    <w:p>
      <w:pPr>
        <w:spacing w:after="0" w:line="48" w:lineRule="exact"/>
        <w:rPr>
          <w:sz w:val="20"/>
          <w:szCs w:val="20"/>
          <w:color w:val="auto"/>
        </w:rPr>
      </w:pPr>
    </w:p>
    <w:p>
      <w:pPr>
        <w:sectPr>
          <w:pgSz w:w="11900" w:h="16838" w:orient="portrait"/>
          <w:cols w:equalWidth="0" w:num="2">
            <w:col w:w="3520" w:space="720"/>
            <w:col w:w="4779"/>
          </w:cols>
          <w:pgMar w:left="1440" w:top="229"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ANI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Karyopharm Therapeutics, Inc.</w:t>
      </w:r>
    </w:p>
    <w:p>
      <w:pPr>
        <w:spacing w:after="0" w:line="48" w:lineRule="exact"/>
        <w:rPr>
          <w:sz w:val="20"/>
          <w:szCs w:val="20"/>
          <w:color w:val="auto"/>
        </w:rPr>
      </w:pPr>
    </w:p>
    <w:p>
      <w:pPr>
        <w:sectPr>
          <w:pgSz w:w="11900" w:h="16838" w:orient="portrait"/>
          <w:cols w:equalWidth="0" w:num="2">
            <w:col w:w="3520" w:space="720"/>
            <w:col w:w="4779"/>
          </w:cols>
          <w:pgMar w:left="1440" w:top="229"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Coherus BioSciences,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Ocular Therapeutix, Inc.</w:t>
      </w:r>
    </w:p>
    <w:p>
      <w:pPr>
        <w:spacing w:after="0" w:line="48" w:lineRule="exact"/>
        <w:rPr>
          <w:sz w:val="20"/>
          <w:szCs w:val="20"/>
          <w:color w:val="auto"/>
        </w:rPr>
      </w:pPr>
    </w:p>
    <w:p>
      <w:pPr>
        <w:sectPr>
          <w:pgSz w:w="11900" w:h="16838" w:orient="portrait"/>
          <w:cols w:equalWidth="0" w:num="2">
            <w:col w:w="3520" w:space="720"/>
            <w:col w:w="4779"/>
          </w:cols>
          <w:pgMar w:left="1440" w:top="229"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OptiNose, Inc.</w:t>
      </w:r>
    </w:p>
    <w:p>
      <w:pPr>
        <w:spacing w:after="0" w:line="36" w:lineRule="exact"/>
        <w:rPr>
          <w:sz w:val="20"/>
          <w:szCs w:val="20"/>
          <w:color w:val="auto"/>
        </w:rPr>
      </w:pPr>
    </w:p>
    <w:p>
      <w:pPr>
        <w:sectPr>
          <w:pgSz w:w="11900" w:h="16838" w:orient="portrait"/>
          <w:cols w:equalWidth="0" w:num="2">
            <w:col w:w="3520" w:space="720"/>
            <w:col w:w="4779"/>
          </w:cols>
          <w:pgMar w:left="1440" w:top="229"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Deciphera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Rigel Pharmaceuticals, Inc.</w:t>
      </w:r>
    </w:p>
    <w:p>
      <w:pPr>
        <w:spacing w:after="0" w:line="48" w:lineRule="exact"/>
        <w:rPr>
          <w:sz w:val="20"/>
          <w:szCs w:val="20"/>
          <w:color w:val="auto"/>
        </w:rPr>
      </w:pPr>
    </w:p>
    <w:p>
      <w:pPr>
        <w:sectPr>
          <w:pgSz w:w="11900" w:h="16838" w:orient="portrait"/>
          <w:cols w:equalWidth="0" w:num="2">
            <w:col w:w="3520" w:space="720"/>
            <w:col w:w="4779"/>
          </w:cols>
          <w:pgMar w:left="1440" w:top="229"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8"/>
          <w:szCs w:val="18"/>
          <w:color w:val="auto"/>
        </w:rPr>
        <w:t>Eagle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Vanda Pharmaceuticals Inc.</w:t>
      </w:r>
    </w:p>
    <w:p>
      <w:pPr>
        <w:spacing w:after="0" w:line="47" w:lineRule="exact"/>
        <w:rPr>
          <w:sz w:val="20"/>
          <w:szCs w:val="20"/>
          <w:color w:val="auto"/>
        </w:rPr>
      </w:pPr>
    </w:p>
    <w:p>
      <w:pPr>
        <w:sectPr>
          <w:pgSz w:w="11900" w:h="16838" w:orient="portrait"/>
          <w:cols w:equalWidth="0" w:num="2">
            <w:col w:w="3520" w:space="720"/>
            <w:col w:w="4779"/>
          </w:cols>
          <w:pgMar w:left="1440" w:top="229"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8"/>
          <w:szCs w:val="18"/>
          <w:color w:val="auto"/>
        </w:rPr>
        <w:t>Esperion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Vericel Corporation</w:t>
      </w:r>
    </w:p>
    <w:p>
      <w:pPr>
        <w:spacing w:after="0" w:line="47" w:lineRule="exact"/>
        <w:rPr>
          <w:sz w:val="20"/>
          <w:szCs w:val="20"/>
          <w:color w:val="auto"/>
        </w:rPr>
      </w:pPr>
    </w:p>
    <w:p>
      <w:pPr>
        <w:sectPr>
          <w:pgSz w:w="11900" w:h="16838" w:orient="portrait"/>
          <w:cols w:equalWidth="0" w:num="2">
            <w:col w:w="3520" w:space="720"/>
            <w:col w:w="4779"/>
          </w:cols>
          <w:pgMar w:left="1440" w:top="229"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EyePoint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Xeris Biopharma Holdings, Inc.</w:t>
      </w:r>
    </w:p>
    <w:p>
      <w:pPr>
        <w:spacing w:after="0" w:line="200" w:lineRule="exact"/>
        <w:rPr>
          <w:sz w:val="20"/>
          <w:szCs w:val="20"/>
          <w:color w:val="auto"/>
        </w:rPr>
      </w:pPr>
    </w:p>
    <w:p>
      <w:pPr>
        <w:sectPr>
          <w:pgSz w:w="11900" w:h="16838" w:orient="portrait"/>
          <w:cols w:equalWidth="0" w:num="2">
            <w:col w:w="3520" w:space="720"/>
            <w:col w:w="4779"/>
          </w:cols>
          <w:pgMar w:left="1440" w:top="229" w:right="1440" w:bottom="1440" w:gutter="0" w:footer="0" w:header="0"/>
          <w:type w:val="continuous"/>
        </w:sectPr>
      </w:pP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Elements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300" w:right="439" w:firstLine="441"/>
        <w:spacing w:after="0" w:line="261" w:lineRule="auto"/>
        <w:rPr>
          <w:sz w:val="20"/>
          <w:szCs w:val="20"/>
          <w:color w:val="auto"/>
        </w:rPr>
      </w:pPr>
      <w:r>
        <w:rPr>
          <w:rFonts w:ascii="Times New Roman" w:cs="Times New Roman" w:eastAsia="Times New Roman" w:hAnsi="Times New Roman"/>
          <w:sz w:val="18"/>
          <w:szCs w:val="18"/>
          <w:color w:val="auto"/>
        </w:rPr>
        <w:t>Named Executive Officer base salaries are based on job responsibilities, accountability and the experience of the individual. Through review of the data and analysis provided by Compensia, the Compensation Committee determined that base salaries for the Named Executive Officers appeared to be generally aligned with our compensation philosophy as described above.</w:t>
      </w:r>
    </w:p>
    <w:p>
      <w:pPr>
        <w:spacing w:after="0" w:line="180" w:lineRule="exact"/>
        <w:rPr>
          <w:sz w:val="20"/>
          <w:szCs w:val="20"/>
          <w:color w:val="auto"/>
        </w:rPr>
      </w:pPr>
    </w:p>
    <w:p>
      <w:pPr>
        <w:ind w:left="300" w:right="479" w:firstLine="441"/>
        <w:spacing w:after="0" w:line="258" w:lineRule="auto"/>
        <w:rPr>
          <w:sz w:val="20"/>
          <w:szCs w:val="20"/>
          <w:color w:val="auto"/>
        </w:rPr>
      </w:pPr>
      <w:r>
        <w:rPr>
          <w:rFonts w:ascii="Times New Roman" w:cs="Times New Roman" w:eastAsia="Times New Roman" w:hAnsi="Times New Roman"/>
          <w:sz w:val="18"/>
          <w:szCs w:val="18"/>
          <w:color w:val="auto"/>
        </w:rPr>
        <w:t>Base salary levels are typically considered annually as part of our performance review process, as well as on promotion or other change in job responsibilities. Merit increases are awarded based on the Compensation Committee’s overall review of a Named Executive Officer’s performance of his or her job responsibilities and desired position in the market range. The Board approved the following base salary increases for 2022 based on performance during 2021:</w:t>
      </w:r>
    </w:p>
    <w:p>
      <w:pPr>
        <w:spacing w:after="0" w:line="178"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8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 Base</w:t>
            </w:r>
          </w:p>
        </w:tc>
        <w:tc>
          <w:tcPr>
            <w:tcW w:w="160" w:type="dxa"/>
            <w:vAlign w:val="bottom"/>
          </w:tcPr>
          <w:p>
            <w:pPr>
              <w:spacing w:after="0"/>
              <w:rPr>
                <w:sz w:val="12"/>
                <w:szCs w:val="12"/>
                <w:color w:val="auto"/>
              </w:rPr>
            </w:pPr>
          </w:p>
        </w:tc>
        <w:tc>
          <w:tcPr>
            <w:tcW w:w="1000" w:type="dxa"/>
            <w:vAlign w:val="bottom"/>
            <w:gridSpan w:val="3"/>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00" w:type="dxa"/>
            <w:vAlign w:val="bottom"/>
          </w:tcPr>
          <w:p>
            <w:pPr>
              <w:spacing w:after="0"/>
              <w:rPr>
                <w:sz w:val="12"/>
                <w:szCs w:val="12"/>
                <w:color w:val="auto"/>
              </w:rPr>
            </w:pPr>
          </w:p>
        </w:tc>
        <w:tc>
          <w:tcPr>
            <w:tcW w:w="288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For 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Barry Quart, Pharm.D.</w:t>
            </w:r>
          </w:p>
        </w:tc>
        <w:tc>
          <w:tcPr>
            <w:tcW w:w="100" w:type="dxa"/>
            <w:vAlign w:val="bottom"/>
            <w:shd w:val="clear" w:color="auto" w:fill="CFF0FC"/>
          </w:tcPr>
          <w:p>
            <w:pPr>
              <w:spacing w:after="0"/>
              <w:rPr>
                <w:sz w:val="14"/>
                <w:szCs w:val="14"/>
                <w:color w:val="auto"/>
              </w:rPr>
            </w:pPr>
          </w:p>
        </w:tc>
        <w:tc>
          <w:tcPr>
            <w:tcW w:w="28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Former Chief Executive Officer</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736,000</w:t>
            </w:r>
          </w:p>
        </w:tc>
        <w:tc>
          <w:tcPr>
            <w:tcW w:w="16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758,080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Kimberly Manhard</w:t>
            </w:r>
          </w:p>
        </w:tc>
        <w:tc>
          <w:tcPr>
            <w:tcW w:w="100" w:type="dxa"/>
            <w:vAlign w:val="bottom"/>
          </w:tcPr>
          <w:p>
            <w:pPr>
              <w:spacing w:after="0"/>
              <w:rPr>
                <w:sz w:val="15"/>
                <w:szCs w:val="15"/>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Drug Development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545,834</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3.5 %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564,938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David Szekeres</w:t>
            </w:r>
          </w:p>
        </w:tc>
        <w:tc>
          <w:tcPr>
            <w:tcW w:w="100" w:type="dxa"/>
            <w:vAlign w:val="bottom"/>
            <w:shd w:val="clear" w:color="auto" w:fill="CFF0FC"/>
          </w:tcPr>
          <w:p>
            <w:pPr>
              <w:spacing w:after="0"/>
              <w:rPr>
                <w:sz w:val="12"/>
                <w:szCs w:val="12"/>
                <w:color w:val="auto"/>
              </w:rPr>
            </w:pPr>
          </w:p>
        </w:tc>
        <w:tc>
          <w:tcPr>
            <w:tcW w:w="2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Executive Vice President, Chief Operating</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533,013</w:t>
            </w:r>
          </w:p>
        </w:tc>
        <w:tc>
          <w:tcPr>
            <w:tcW w:w="116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3.5 % $</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551,669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Officer</w:t>
            </w:r>
          </w:p>
        </w:tc>
        <w:tc>
          <w:tcPr>
            <w:tcW w:w="24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160" w:type="dxa"/>
            <w:vAlign w:val="bottom"/>
            <w:gridSpan w:val="4"/>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bookmarkStart w:id="28" w:name="page29"/>
    <w:bookmarkEnd w:id="28"/>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Bonus</w:t>
      </w:r>
    </w:p>
    <w:p>
      <w:pPr>
        <w:spacing w:after="0" w:line="121" w:lineRule="exact"/>
        <w:rPr>
          <w:sz w:val="20"/>
          <w:szCs w:val="20"/>
          <w:color w:val="auto"/>
        </w:rPr>
      </w:pPr>
    </w:p>
    <w:p>
      <w:pPr>
        <w:ind w:left="300" w:right="579" w:firstLine="441"/>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reviewed the target annual cash incentive bonus payouts for the Named Executive Officers based on peer group and broader industry and market survey data. The target annual incentive bonus amount is based on the Named Executive Officer’s level of accountability and potential impact on the Company’s performance and market data.</w:t>
      </w:r>
    </w:p>
    <w:p>
      <w:pPr>
        <w:spacing w:after="0" w:line="180" w:lineRule="exact"/>
        <w:rPr>
          <w:sz w:val="20"/>
          <w:szCs w:val="20"/>
          <w:color w:val="auto"/>
        </w:rPr>
      </w:pPr>
    </w:p>
    <w:p>
      <w:pPr>
        <w:ind w:left="300" w:right="439" w:firstLine="441"/>
        <w:spacing w:after="0" w:line="258" w:lineRule="auto"/>
        <w:rPr>
          <w:sz w:val="20"/>
          <w:szCs w:val="20"/>
          <w:color w:val="auto"/>
        </w:rPr>
      </w:pPr>
      <w:r>
        <w:rPr>
          <w:rFonts w:ascii="Times New Roman" w:cs="Times New Roman" w:eastAsia="Times New Roman" w:hAnsi="Times New Roman"/>
          <w:sz w:val="18"/>
          <w:szCs w:val="18"/>
          <w:color w:val="auto"/>
        </w:rPr>
        <w:t>In determining the annual cash incentive bonus payout for executives, the Named Executive Officer’s annual base salary is multiplied by his or her target bonus percentage. For Dr. Quart, Ms. Manhard and Mr. Szekeres, each of whose bonus is weighted solely on corporate goal achievement, the resulting amount is then multiplied by the corporate performance percentage approved by the Compensation Committee or the Board, which is based on the achievement of corporate performance goals.</w:t>
      </w:r>
    </w:p>
    <w:p>
      <w:pPr>
        <w:spacing w:after="0" w:line="183" w:lineRule="exact"/>
        <w:rPr>
          <w:sz w:val="20"/>
          <w:szCs w:val="20"/>
          <w:color w:val="auto"/>
        </w:rPr>
      </w:pPr>
    </w:p>
    <w:p>
      <w:pPr>
        <w:ind w:left="300" w:right="419" w:firstLine="441"/>
        <w:spacing w:after="0" w:line="253" w:lineRule="auto"/>
        <w:rPr>
          <w:sz w:val="20"/>
          <w:szCs w:val="20"/>
          <w:color w:val="auto"/>
        </w:rPr>
      </w:pPr>
      <w:r>
        <w:rPr>
          <w:rFonts w:ascii="Times New Roman" w:cs="Times New Roman" w:eastAsia="Times New Roman" w:hAnsi="Times New Roman"/>
          <w:sz w:val="18"/>
          <w:szCs w:val="18"/>
          <w:color w:val="auto"/>
        </w:rPr>
        <w:t>For annual cash incentive bonuses to our Named Executive Officers, a minimum overall goal achievement of greater than or equal to 50% is required for any performance-based cash bonus to be earned. The target annual cash incentive bonus can be earned if a goal achievement of 100% is obtained; for extraordinary performance in corporate goal achievement, up to 150% of the target annual cash incentive bonus for that goal may be awarded. Accordingly, for each Named Executive Officer in 2022, there was the potential to receive up to 150% of his or her overall target annual cash incentive bonus payout. The Compensation Committee retains sole discretion to modify our target corporate performance goals at any time, including the methodology for calculating the specific bonus amounts. The Compensation Committee may also, in its sole discretion, determine to either increase annual cash incentive bonus payouts for extraordinary achievement or to reduce payouts if economic and business conditions warrant. For the 2022 cash incentive bonuses, the Compensation Committee did not modify any goals or individual bonus payouts.</w:t>
      </w:r>
    </w:p>
    <w:p>
      <w:pPr>
        <w:spacing w:after="0" w:line="192" w:lineRule="exact"/>
        <w:rPr>
          <w:sz w:val="20"/>
          <w:szCs w:val="20"/>
          <w:color w:val="auto"/>
        </w:rPr>
      </w:pPr>
    </w:p>
    <w:p>
      <w:pPr>
        <w:ind w:left="300" w:right="339" w:firstLine="441"/>
        <w:spacing w:after="0" w:line="253" w:lineRule="auto"/>
        <w:rPr>
          <w:sz w:val="20"/>
          <w:szCs w:val="20"/>
          <w:color w:val="auto"/>
        </w:rPr>
      </w:pPr>
      <w:r>
        <w:rPr>
          <w:rFonts w:ascii="Times New Roman" w:cs="Times New Roman" w:eastAsia="Times New Roman" w:hAnsi="Times New Roman"/>
          <w:sz w:val="18"/>
          <w:szCs w:val="18"/>
          <w:color w:val="auto"/>
        </w:rPr>
        <w:t>Our corporate goals are collectively designed to emphasize success with respect to our diverse business efforts and encourage our Named Executive Officers to support each goal as a multi-disciplinary function. For 2022, our corporate goals were a combination of the following: (1) obtaining approval for the NDA with the FDA for APONVIE; (2) meeting certain commercial sales targets for all Company products; (3) completing conversion to larger scale manufacturing of both ZYNRELEF and CINVANTI; (4) submitting the supplemental NDA to expand the indication for ZYNRELEF; (5) achieving certain drug development milestones; and (6) financial goals, including adhering to an on-target budget. The Compensation Committee’s analysis of the level of achievement for each goal was subjective and the goals were considered in the aggregate, without a formulaic evaluation. In the aggregate, the Compensation Committee determined that overall, the corporate performance goals had been achieved at a level of 75%. Corresponding payouts are noted in the table below.</w:t>
      </w:r>
    </w:p>
    <w:p>
      <w:pPr>
        <w:spacing w:after="0" w:line="189"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2022 Annual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 Base</w:t>
            </w:r>
          </w:p>
        </w:tc>
        <w:tc>
          <w:tcPr>
            <w:tcW w:w="7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14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20" w:type="dxa"/>
            <w:vAlign w:val="bottom"/>
          </w:tcPr>
          <w:p>
            <w:pPr>
              <w:spacing w:after="0"/>
              <w:rPr>
                <w:sz w:val="12"/>
                <w:szCs w:val="12"/>
                <w:color w:val="auto"/>
              </w:rPr>
            </w:pPr>
          </w:p>
        </w:tc>
        <w:tc>
          <w:tcPr>
            <w:tcW w:w="202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9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4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Barry Quart,</w:t>
            </w:r>
          </w:p>
        </w:tc>
        <w:tc>
          <w:tcPr>
            <w:tcW w:w="1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Former Chief Executive Officer</w:t>
            </w:r>
          </w:p>
        </w:tc>
        <w:tc>
          <w:tcPr>
            <w:tcW w:w="2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736,000</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88"/>
              <w:spacing w:after="0" w:line="133" w:lineRule="exact"/>
              <w:rPr>
                <w:sz w:val="20"/>
                <w:szCs w:val="20"/>
                <w:color w:val="auto"/>
              </w:rPr>
            </w:pPr>
            <w:r>
              <w:rPr>
                <w:rFonts w:ascii="Times New Roman" w:cs="Times New Roman" w:eastAsia="Times New Roman" w:hAnsi="Times New Roman"/>
                <w:sz w:val="14"/>
                <w:szCs w:val="14"/>
                <w:color w:val="auto"/>
              </w:rPr>
              <w:t>70%</w:t>
            </w:r>
          </w:p>
        </w:tc>
        <w:tc>
          <w:tcPr>
            <w:tcW w:w="940" w:type="dxa"/>
            <w:vAlign w:val="bottom"/>
            <w:shd w:val="clear" w:color="auto" w:fill="CFF0FC"/>
          </w:tcPr>
          <w:p>
            <w:pPr>
              <w:jc w:val="right"/>
              <w:ind w:right="228"/>
              <w:spacing w:after="0" w:line="133" w:lineRule="exact"/>
              <w:rPr>
                <w:sz w:val="20"/>
                <w:szCs w:val="20"/>
                <w:color w:val="auto"/>
              </w:rPr>
            </w:pPr>
            <w:r>
              <w:rPr>
                <w:rFonts w:ascii="Times New Roman" w:cs="Times New Roman" w:eastAsia="Times New Roman" w:hAnsi="Times New Roman"/>
                <w:sz w:val="14"/>
                <w:szCs w:val="14"/>
                <w:color w:val="auto"/>
              </w:rPr>
              <w:t>75%</w:t>
            </w:r>
          </w:p>
        </w:tc>
        <w:tc>
          <w:tcPr>
            <w:tcW w:w="1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386,400</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Pharm.D.</w:t>
            </w:r>
          </w:p>
        </w:tc>
        <w:tc>
          <w:tcPr>
            <w:tcW w:w="12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Kimberly Manhard</w:t>
            </w:r>
          </w:p>
        </w:tc>
        <w:tc>
          <w:tcPr>
            <w:tcW w:w="120" w:type="dxa"/>
            <w:vAlign w:val="bottom"/>
          </w:tcPr>
          <w:p>
            <w:pPr>
              <w:spacing w:after="0"/>
              <w:rPr>
                <w:sz w:val="12"/>
                <w:szCs w:val="12"/>
                <w:color w:val="auto"/>
              </w:rPr>
            </w:pPr>
          </w:p>
        </w:tc>
        <w:tc>
          <w:tcPr>
            <w:tcW w:w="20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Executive Vice President, Drug</w:t>
            </w:r>
          </w:p>
        </w:tc>
        <w:tc>
          <w:tcPr>
            <w:tcW w:w="2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545,834</w:t>
            </w:r>
          </w:p>
        </w:tc>
        <w:tc>
          <w:tcPr>
            <w:tcW w:w="700" w:type="dxa"/>
            <w:vAlign w:val="bottom"/>
            <w:gridSpan w:val="2"/>
          </w:tcPr>
          <w:p>
            <w:pPr>
              <w:jc w:val="right"/>
              <w:ind w:right="88"/>
              <w:spacing w:after="0" w:line="139" w:lineRule="exact"/>
              <w:rPr>
                <w:sz w:val="20"/>
                <w:szCs w:val="20"/>
                <w:color w:val="auto"/>
              </w:rPr>
            </w:pPr>
            <w:r>
              <w:rPr>
                <w:rFonts w:ascii="Times New Roman" w:cs="Times New Roman" w:eastAsia="Times New Roman" w:hAnsi="Times New Roman"/>
                <w:sz w:val="14"/>
                <w:szCs w:val="14"/>
                <w:color w:val="auto"/>
              </w:rPr>
              <w:t>50%</w:t>
            </w:r>
          </w:p>
        </w:tc>
        <w:tc>
          <w:tcPr>
            <w:tcW w:w="940" w:type="dxa"/>
            <w:vAlign w:val="bottom"/>
          </w:tcPr>
          <w:p>
            <w:pPr>
              <w:jc w:val="right"/>
              <w:ind w:right="228"/>
              <w:spacing w:after="0" w:line="139" w:lineRule="exact"/>
              <w:rPr>
                <w:sz w:val="20"/>
                <w:szCs w:val="20"/>
                <w:color w:val="auto"/>
              </w:rPr>
            </w:pPr>
            <w:r>
              <w:rPr>
                <w:rFonts w:ascii="Times New Roman" w:cs="Times New Roman" w:eastAsia="Times New Roman" w:hAnsi="Times New Roman"/>
                <w:sz w:val="14"/>
                <w:szCs w:val="14"/>
                <w:color w:val="auto"/>
              </w:rPr>
              <w:t>75%</w:t>
            </w:r>
          </w:p>
        </w:tc>
        <w:tc>
          <w:tcPr>
            <w:tcW w:w="1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204,688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Development</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David Szekeres</w:t>
            </w:r>
          </w:p>
        </w:tc>
        <w:tc>
          <w:tcPr>
            <w:tcW w:w="1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Executive Vice President, Chief</w:t>
            </w:r>
          </w:p>
        </w:tc>
        <w:tc>
          <w:tcPr>
            <w:tcW w:w="2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533,013</w:t>
            </w:r>
          </w:p>
        </w:tc>
        <w:tc>
          <w:tcPr>
            <w:tcW w:w="700" w:type="dxa"/>
            <w:vAlign w:val="bottom"/>
            <w:gridSpan w:val="2"/>
            <w:shd w:val="clear" w:color="auto" w:fill="CFF0FC"/>
          </w:tcPr>
          <w:p>
            <w:pPr>
              <w:jc w:val="right"/>
              <w:ind w:right="88"/>
              <w:spacing w:after="0" w:line="139" w:lineRule="exact"/>
              <w:rPr>
                <w:sz w:val="20"/>
                <w:szCs w:val="20"/>
                <w:color w:val="auto"/>
              </w:rPr>
            </w:pPr>
            <w:r>
              <w:rPr>
                <w:rFonts w:ascii="Times New Roman" w:cs="Times New Roman" w:eastAsia="Times New Roman" w:hAnsi="Times New Roman"/>
                <w:sz w:val="14"/>
                <w:szCs w:val="14"/>
                <w:color w:val="auto"/>
              </w:rPr>
              <w:t>50%</w:t>
            </w:r>
          </w:p>
        </w:tc>
        <w:tc>
          <w:tcPr>
            <w:tcW w:w="940" w:type="dxa"/>
            <w:vAlign w:val="bottom"/>
            <w:shd w:val="clear" w:color="auto" w:fill="CFF0FC"/>
          </w:tcPr>
          <w:p>
            <w:pPr>
              <w:jc w:val="right"/>
              <w:ind w:right="228"/>
              <w:spacing w:after="0" w:line="139" w:lineRule="exact"/>
              <w:rPr>
                <w:sz w:val="20"/>
                <w:szCs w:val="20"/>
                <w:color w:val="auto"/>
              </w:rPr>
            </w:pPr>
            <w:r>
              <w:rPr>
                <w:rFonts w:ascii="Times New Roman" w:cs="Times New Roman" w:eastAsia="Times New Roman" w:hAnsi="Times New Roman"/>
                <w:sz w:val="14"/>
                <w:szCs w:val="14"/>
                <w:color w:val="auto"/>
              </w:rPr>
              <w:t>75%</w:t>
            </w:r>
          </w:p>
        </w:tc>
        <w:tc>
          <w:tcPr>
            <w:tcW w:w="1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199,880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Officer</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left="300" w:right="339" w:firstLine="441"/>
        <w:spacing w:after="0" w:line="255" w:lineRule="auto"/>
        <w:rPr>
          <w:sz w:val="20"/>
          <w:szCs w:val="20"/>
          <w:color w:val="auto"/>
        </w:rPr>
      </w:pPr>
      <w:r>
        <w:rPr>
          <w:rFonts w:ascii="Times New Roman" w:cs="Times New Roman" w:eastAsia="Times New Roman" w:hAnsi="Times New Roman"/>
          <w:sz w:val="18"/>
          <w:szCs w:val="18"/>
          <w:color w:val="auto"/>
        </w:rPr>
        <w:t>Our equity-based compensation program is designed to promote high performance and achievement of corporate goals by employees on a long-term basis, encourage the growth of stockholder value and allow employees to participate in the long-term success of the Company. Under the Amended and Restated 2007 Equity Incentive Plan, the Board (or a committee thereof, including the Compensation Committee) may grant stock options, shares of stock, restricted stock units, stock appreciation rights and performance awards. In granting these equity awards, the Board (or a committee thereof, including the Compensation Committee) may establish any conditions or restrictions it deems appropriate.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29" w:name="page30"/>
    <w:bookmarkEnd w:id="29"/>
    <w:p>
      <w:pPr>
        <w:ind w:left="300" w:right="379" w:firstLine="441"/>
        <w:spacing w:after="0" w:line="262" w:lineRule="auto"/>
        <w:rPr>
          <w:sz w:val="20"/>
          <w:szCs w:val="20"/>
          <w:color w:val="auto"/>
        </w:rPr>
      </w:pPr>
      <w:r>
        <w:rPr>
          <w:rFonts w:ascii="Times New Roman" w:cs="Times New Roman" w:eastAsia="Times New Roman" w:hAnsi="Times New Roman"/>
          <w:sz w:val="17"/>
          <w:szCs w:val="17"/>
          <w:color w:val="auto"/>
        </w:rPr>
        <w:t>Equity award levels are based on grant guidelines approved by the Board or the Compensation Committee. Annual equity awards to Named Executive Officers are typically made as part of the annual review of Named Executive Officer performance, which typically occurs around the end of each calendar year. Newly hired or promoted executives receive their equity awards on their respective dates of hire or promotion. For 2022, the Compensation Committee did not award annual grants to our Named Executive Officers, including the Chairman and Chief Executive Officer, but did provide a special one-time retention equity award for them in July 2022 valued at approximately one half of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percentile of long-term incentive awards to executives with similar roles at similar organizations, based on a review of competitive market data. These awards are further described in the next paragraph. The grant of equity awards by the Company is unrelated to any anticipated major announcements made by the Company and is not influenced by any material, non-public information that may exist at the time of grant.</w:t>
      </w:r>
    </w:p>
    <w:p>
      <w:pPr>
        <w:spacing w:after="0" w:line="180" w:lineRule="exact"/>
        <w:rPr>
          <w:sz w:val="20"/>
          <w:szCs w:val="20"/>
          <w:color w:val="auto"/>
        </w:rPr>
      </w:pPr>
    </w:p>
    <w:p>
      <w:pPr>
        <w:ind w:left="300" w:right="299" w:firstLine="441"/>
        <w:spacing w:after="0" w:line="267" w:lineRule="auto"/>
        <w:rPr>
          <w:sz w:val="20"/>
          <w:szCs w:val="20"/>
          <w:color w:val="auto"/>
        </w:rPr>
      </w:pPr>
      <w:r>
        <w:rPr>
          <w:rFonts w:ascii="Times New Roman" w:cs="Times New Roman" w:eastAsia="Times New Roman" w:hAnsi="Times New Roman"/>
          <w:sz w:val="17"/>
          <w:szCs w:val="17"/>
          <w:color w:val="auto"/>
        </w:rPr>
        <w:t>In June 2022, the Company implemented a corporate restructuring and cost reduction plan to address the current market dynamics and position the Company for long-term sustainability (the “Restructuring”). The Restructuring resulted in a reduction of the total Company employee base by approximately 34%, and also included reductions and reallocations in overall sales, general and administrative expenses, as well as savings related to reduced external spend. These reductions and reallocations required the remaining employees, including executives, to accomplish critical business objectives with limited human and financial resources. In July 2022, the Compensation Committee considered several factors relating to the Restructuring, including, for example, the resulting increased employee uncertainty about job security causing lower employee morale and the need to retain certain personnel and skillsets required to achieve the Company’s current and future business objectives. In light of these factors, the Compensation Committee considered how to bolster employee retention and determined that the minimal economic value of the unvested equity holdings of employees and certain Named Executive Officers might not satisfy our retention objective of keeping critical employees, including members of our management team, engaged in achieving important business objectives, or provide both the short-term and long-term incentive for them to do so. As a result of that assessment, the Compensation Committee awarded a one-time special retention grant for most employees. For our most senior executives, including Ms. Manhard and Mr. Szekeres, the retention grant was provided in the form of time-based stock options and Performance Stock Units (“PSUs”) with both performance-based and time-based vesting. The time-based stock option awards granted to Ms. Manhard and Mr. Szekeres vest quarterly over two years. The PSU grants were weighted for each individual, based on that individual’s degree of responsibility for each goal, and a specific number of PSU shares were to be earned upon successful completion of each short-term goal in the specified timeframe, and to vest one year after the date of grant. The performance vesting is based on the achievement of the following milestones for each of Ms. Manhard and Mr. Szekeres as follows:</w:t>
      </w:r>
    </w:p>
    <w:p>
      <w:pPr>
        <w:spacing w:after="0" w:line="200" w:lineRule="exact"/>
        <w:rPr>
          <w:sz w:val="20"/>
          <w:szCs w:val="20"/>
          <w:color w:val="auto"/>
        </w:rPr>
      </w:pP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60" w:type="dxa"/>
            <w:vAlign w:val="bottom"/>
          </w:tcPr>
          <w:p>
            <w:pPr>
              <w:spacing w:after="0"/>
              <w:rPr>
                <w:sz w:val="16"/>
                <w:szCs w:val="16"/>
                <w:color w:val="auto"/>
              </w:rPr>
            </w:pPr>
          </w:p>
        </w:tc>
        <w:tc>
          <w:tcPr>
            <w:tcW w:w="29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PSU Goal</w:t>
            </w:r>
          </w:p>
        </w:tc>
        <w:tc>
          <w:tcPr>
            <w:tcW w:w="14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6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Result</w:t>
            </w:r>
          </w:p>
        </w:tc>
      </w:tr>
      <w:tr>
        <w:trPr>
          <w:trHeight w:val="133"/>
        </w:trPr>
        <w:tc>
          <w:tcPr>
            <w:tcW w:w="13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Kimberly Manhard</w:t>
            </w:r>
          </w:p>
        </w:tc>
        <w:tc>
          <w:tcPr>
            <w:tcW w:w="260" w:type="dxa"/>
            <w:vAlign w:val="bottom"/>
            <w:shd w:val="clear" w:color="auto" w:fill="CFF0FC"/>
          </w:tcPr>
          <w:p>
            <w:pPr>
              <w:spacing w:after="0"/>
              <w:rPr>
                <w:sz w:val="11"/>
                <w:szCs w:val="11"/>
                <w:color w:val="auto"/>
              </w:rPr>
            </w:pPr>
          </w:p>
        </w:tc>
        <w:tc>
          <w:tcPr>
            <w:tcW w:w="29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FDA approval of the NDA for APONVIE by</w:t>
            </w:r>
          </w:p>
        </w:tc>
        <w:tc>
          <w:tcPr>
            <w:tcW w:w="140" w:type="dxa"/>
            <w:vAlign w:val="bottom"/>
            <w:shd w:val="clear" w:color="auto" w:fill="CFF0FC"/>
          </w:tcPr>
          <w:p>
            <w:pPr>
              <w:spacing w:after="0"/>
              <w:rPr>
                <w:sz w:val="11"/>
                <w:szCs w:val="11"/>
                <w:color w:val="auto"/>
              </w:rPr>
            </w:pPr>
          </w:p>
        </w:tc>
        <w:tc>
          <w:tcPr>
            <w:tcW w:w="1760" w:type="dxa"/>
            <w:vAlign w:val="bottom"/>
            <w:shd w:val="clear" w:color="auto" w:fill="CFF0FC"/>
          </w:tcPr>
          <w:p>
            <w:pPr>
              <w:jc w:val="center"/>
              <w:spacing w:after="0" w:line="133" w:lineRule="exact"/>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FF0FC"/>
          </w:tcPr>
          <w:p>
            <w:pPr>
              <w:spacing w:after="0"/>
              <w:rPr>
                <w:sz w:val="11"/>
                <w:szCs w:val="11"/>
                <w:color w:val="auto"/>
              </w:rPr>
            </w:pPr>
          </w:p>
        </w:tc>
        <w:tc>
          <w:tcPr>
            <w:tcW w:w="1860" w:type="dxa"/>
            <w:vAlign w:val="bottom"/>
            <w:shd w:val="clear" w:color="auto" w:fill="CFF0FC"/>
          </w:tcPr>
          <w:p>
            <w:pPr>
              <w:jc w:val="center"/>
              <w:spacing w:after="0" w:line="133" w:lineRule="exact"/>
              <w:rPr>
                <w:sz w:val="20"/>
                <w:szCs w:val="20"/>
                <w:color w:val="auto"/>
              </w:rPr>
            </w:pPr>
            <w:r>
              <w:rPr>
                <w:rFonts w:ascii="Times New Roman" w:cs="Times New Roman" w:eastAsia="Times New Roman" w:hAnsi="Times New Roman"/>
                <w:sz w:val="14"/>
                <w:szCs w:val="14"/>
                <w:color w:val="auto"/>
              </w:rPr>
              <w:t>Achieved</w:t>
            </w:r>
          </w:p>
        </w:tc>
      </w:tr>
      <w:tr>
        <w:trPr>
          <w:trHeight w:val="185"/>
        </w:trPr>
        <w:tc>
          <w:tcPr>
            <w:tcW w:w="1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17, 2022</w:t>
            </w:r>
          </w:p>
        </w:tc>
        <w:tc>
          <w:tcPr>
            <w:tcW w:w="14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r>
      <w:tr>
        <w:trPr>
          <w:trHeight w:val="139"/>
        </w:trPr>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Submission of the supplemental NDA for the</w:t>
            </w:r>
          </w:p>
        </w:tc>
        <w:tc>
          <w:tcPr>
            <w:tcW w:w="190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2"/>
                <w:szCs w:val="12"/>
                <w:color w:val="auto"/>
              </w:rPr>
            </w:pPr>
          </w:p>
        </w:tc>
        <w:tc>
          <w:tcPr>
            <w:tcW w:w="18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Achieved</w:t>
            </w:r>
          </w:p>
        </w:tc>
      </w:tr>
      <w:tr>
        <w:trPr>
          <w:trHeight w:val="185"/>
        </w:trPr>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expanded indication of ZYNRELEF</w:t>
            </w: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39"/>
        </w:trPr>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Completion of certain business development</w:t>
            </w:r>
          </w:p>
        </w:tc>
        <w:tc>
          <w:tcPr>
            <w:tcW w:w="190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FF0FC"/>
          </w:tcPr>
          <w:p>
            <w:pPr>
              <w:spacing w:after="0"/>
              <w:rPr>
                <w:sz w:val="12"/>
                <w:szCs w:val="12"/>
                <w:color w:val="auto"/>
              </w:rPr>
            </w:pPr>
          </w:p>
        </w:tc>
        <w:tc>
          <w:tcPr>
            <w:tcW w:w="186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Not Achieved</w:t>
            </w:r>
          </w:p>
        </w:tc>
      </w:tr>
      <w:tr>
        <w:trPr>
          <w:trHeight w:val="185"/>
        </w:trPr>
        <w:tc>
          <w:tcPr>
            <w:tcW w:w="1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activities</w:t>
            </w:r>
          </w:p>
        </w:tc>
        <w:tc>
          <w:tcPr>
            <w:tcW w:w="14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David Szekeres</w:t>
            </w:r>
          </w:p>
        </w:tc>
        <w:tc>
          <w:tcPr>
            <w:tcW w:w="260" w:type="dxa"/>
            <w:vAlign w:val="bottom"/>
          </w:tcPr>
          <w:p>
            <w:pPr>
              <w:spacing w:after="0"/>
              <w:rPr>
                <w:sz w:val="12"/>
                <w:szCs w:val="12"/>
                <w:color w:val="auto"/>
              </w:rPr>
            </w:pPr>
          </w:p>
        </w:tc>
        <w:tc>
          <w:tcPr>
            <w:tcW w:w="2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Completion of certain business development</w:t>
            </w:r>
          </w:p>
        </w:tc>
        <w:tc>
          <w:tcPr>
            <w:tcW w:w="190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spacing w:after="0"/>
              <w:rPr>
                <w:sz w:val="12"/>
                <w:szCs w:val="12"/>
                <w:color w:val="auto"/>
              </w:rPr>
            </w:pPr>
          </w:p>
        </w:tc>
        <w:tc>
          <w:tcPr>
            <w:tcW w:w="18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Not Achieved</w:t>
            </w:r>
          </w:p>
        </w:tc>
      </w:tr>
      <w:tr>
        <w:trPr>
          <w:trHeight w:val="185"/>
        </w:trPr>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activities</w:t>
            </w: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39"/>
        </w:trPr>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Achievement of ZYNRELEF net product sales</w:t>
            </w:r>
          </w:p>
        </w:tc>
        <w:tc>
          <w:tcPr>
            <w:tcW w:w="190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FF0FC"/>
          </w:tcPr>
          <w:p>
            <w:pPr>
              <w:spacing w:after="0"/>
              <w:rPr>
                <w:sz w:val="12"/>
                <w:szCs w:val="12"/>
                <w:color w:val="auto"/>
              </w:rPr>
            </w:pPr>
          </w:p>
        </w:tc>
        <w:tc>
          <w:tcPr>
            <w:tcW w:w="186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Not Achieved</w:t>
            </w:r>
          </w:p>
        </w:tc>
      </w:tr>
      <w:tr>
        <w:trPr>
          <w:trHeight w:val="185"/>
        </w:trPr>
        <w:tc>
          <w:tcPr>
            <w:tcW w:w="1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14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r>
      <w:tr>
        <w:trPr>
          <w:trHeight w:val="175"/>
        </w:trPr>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Achievement of CINV net product sales target</w:t>
            </w:r>
          </w:p>
        </w:tc>
        <w:tc>
          <w:tcPr>
            <w:tcW w:w="19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Achieved</w:t>
            </w:r>
          </w:p>
        </w:tc>
      </w:tr>
      <w:tr>
        <w:trPr>
          <w:trHeight w:val="139"/>
        </w:trPr>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FDA approval of the NDA for APONVIE by</w:t>
            </w:r>
          </w:p>
        </w:tc>
        <w:tc>
          <w:tcPr>
            <w:tcW w:w="190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FF0FC"/>
          </w:tcPr>
          <w:p>
            <w:pPr>
              <w:spacing w:after="0"/>
              <w:rPr>
                <w:sz w:val="12"/>
                <w:szCs w:val="12"/>
                <w:color w:val="auto"/>
              </w:rPr>
            </w:pPr>
          </w:p>
        </w:tc>
        <w:tc>
          <w:tcPr>
            <w:tcW w:w="186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Achieved</w:t>
            </w:r>
          </w:p>
        </w:tc>
      </w:tr>
      <w:tr>
        <w:trPr>
          <w:trHeight w:val="185"/>
        </w:trPr>
        <w:tc>
          <w:tcPr>
            <w:tcW w:w="1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17, 2022</w:t>
            </w:r>
          </w:p>
        </w:tc>
        <w:tc>
          <w:tcPr>
            <w:tcW w:w="14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0" w:name="page31"/>
    <w:bookmarkEnd w:id="30"/>
    <w:p>
      <w:pPr>
        <w:ind w:left="300" w:right="359" w:firstLine="441"/>
        <w:spacing w:after="0" w:line="258" w:lineRule="auto"/>
        <w:rPr>
          <w:sz w:val="20"/>
          <w:szCs w:val="20"/>
          <w:color w:val="auto"/>
        </w:rPr>
      </w:pPr>
      <w:r>
        <w:rPr>
          <w:rFonts w:ascii="Times New Roman" w:cs="Times New Roman" w:eastAsia="Times New Roman" w:hAnsi="Times New Roman"/>
          <w:sz w:val="18"/>
          <w:szCs w:val="18"/>
          <w:color w:val="auto"/>
        </w:rPr>
        <w:t>No such special retention grant was awarded to Dr. Quart. Aside from these retention grants, there were no annual or other equity grants given to any Named Executive Officers in 2022. We used peer-group data and survey data for similarly situated companies in our industry to help set the appropriate value of our Named Executive Officer grants using the Black-Scholes option pricing model for stock option grants. The Compensation Committee-approved equity grants were as follows: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3"/>
                <w:szCs w:val="13"/>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20" w:type="dxa"/>
            <w:vAlign w:val="bottom"/>
          </w:tcPr>
          <w:p>
            <w:pPr>
              <w:spacing w:after="0"/>
              <w:rPr>
                <w:sz w:val="12"/>
                <w:szCs w:val="12"/>
                <w:color w:val="auto"/>
              </w:rPr>
            </w:pPr>
          </w:p>
        </w:tc>
        <w:tc>
          <w:tcPr>
            <w:tcW w:w="26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Unit</w:t>
            </w: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Barry Quart,</w:t>
            </w:r>
          </w:p>
        </w:tc>
        <w:tc>
          <w:tcPr>
            <w:tcW w:w="120" w:type="dxa"/>
            <w:vAlign w:val="bottom"/>
            <w:shd w:val="clear" w:color="auto" w:fill="CFF0FC"/>
          </w:tcPr>
          <w:p>
            <w:pPr>
              <w:spacing w:after="0"/>
              <w:rPr>
                <w:sz w:val="11"/>
                <w:szCs w:val="11"/>
                <w:color w:val="auto"/>
              </w:rPr>
            </w:pPr>
          </w:p>
        </w:tc>
        <w:tc>
          <w:tcPr>
            <w:tcW w:w="26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Former Chief Executive Officer</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Pharm.D.</w:t>
            </w:r>
          </w:p>
        </w:tc>
        <w:tc>
          <w:tcPr>
            <w:tcW w:w="120" w:type="dxa"/>
            <w:vAlign w:val="bottom"/>
            <w:shd w:val="clear" w:color="auto" w:fill="CFF0FC"/>
          </w:tcPr>
          <w:p>
            <w:pPr>
              <w:spacing w:after="0"/>
              <w:rPr>
                <w:sz w:val="16"/>
                <w:szCs w:val="16"/>
                <w:color w:val="auto"/>
              </w:rPr>
            </w:pPr>
          </w:p>
        </w:tc>
        <w:tc>
          <w:tcPr>
            <w:tcW w:w="2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Kimberly Manhard</w:t>
            </w:r>
          </w:p>
        </w:tc>
        <w:tc>
          <w:tcPr>
            <w:tcW w:w="120" w:type="dxa"/>
            <w:vAlign w:val="bottom"/>
          </w:tcPr>
          <w:p>
            <w:pPr>
              <w:spacing w:after="0"/>
              <w:rPr>
                <w:sz w:val="12"/>
                <w:szCs w:val="12"/>
                <w:color w:val="auto"/>
              </w:rPr>
            </w:pPr>
          </w:p>
        </w:tc>
        <w:tc>
          <w:tcPr>
            <w:tcW w:w="2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Executive Vice President, Drug</w:t>
            </w:r>
          </w:p>
        </w:tc>
        <w:tc>
          <w:tcPr>
            <w:tcW w:w="9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165,961</w:t>
            </w:r>
          </w:p>
        </w:tc>
        <w:tc>
          <w:tcPr>
            <w:tcW w:w="2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441,456</w:t>
            </w:r>
          </w:p>
        </w:tc>
        <w:tc>
          <w:tcPr>
            <w:tcW w:w="11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165,961</w:t>
            </w:r>
          </w:p>
        </w:tc>
        <w:tc>
          <w:tcPr>
            <w:tcW w:w="3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235,482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David Szekeres</w:t>
            </w:r>
          </w:p>
        </w:tc>
        <w:tc>
          <w:tcPr>
            <w:tcW w:w="120" w:type="dxa"/>
            <w:vAlign w:val="bottom"/>
            <w:shd w:val="clear" w:color="auto" w:fill="CFF0FC"/>
          </w:tcPr>
          <w:p>
            <w:pPr>
              <w:spacing w:after="0"/>
              <w:rPr>
                <w:sz w:val="12"/>
                <w:szCs w:val="12"/>
                <w:color w:val="auto"/>
              </w:rPr>
            </w:pPr>
          </w:p>
        </w:tc>
        <w:tc>
          <w:tcPr>
            <w:tcW w:w="26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Executive Vice President, Chief Operating</w:t>
            </w:r>
          </w:p>
        </w:tc>
        <w:tc>
          <w:tcPr>
            <w:tcW w:w="9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165,961</w:t>
            </w:r>
          </w:p>
        </w:tc>
        <w:tc>
          <w:tcPr>
            <w:tcW w:w="28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441,456</w:t>
            </w:r>
          </w:p>
        </w:tc>
        <w:tc>
          <w:tcPr>
            <w:tcW w:w="11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165,961</w:t>
            </w:r>
          </w:p>
        </w:tc>
        <w:tc>
          <w:tcPr>
            <w:tcW w:w="3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235,482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Officer</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00" w:right="439" w:hanging="8"/>
        <w:spacing w:after="0" w:line="233" w:lineRule="auto"/>
        <w:tabs>
          <w:tab w:leader="none" w:pos="50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stock units vest upon achievement of certain corporate performance goals and time-based vesting. The PSUs will vest in full, if the performance goals have been achieved, on the first anniversary of the grant date subject to continued employment through such date. In January 2023, the Compensation Committee determined that certain PSU performance goals had been achieved and only the time-based vesting remained. Assuming continued employment through July 25, 2023, Kimberly Manhard will receive 149,365 shares of the Company's common stock and David Szekeres will receive 49,788 shares of the Company's common stock.</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 End</w:t>
      </w:r>
    </w:p>
    <w:p>
      <w:pPr>
        <w:spacing w:after="0" w:line="121" w:lineRule="exact"/>
        <w:rPr>
          <w:sz w:val="20"/>
          <w:szCs w:val="20"/>
          <w:color w:val="auto"/>
        </w:rPr>
      </w:pPr>
    </w:p>
    <w:p>
      <w:pPr>
        <w:ind w:left="300" w:right="43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information regarding outstanding equity awards granted to our Named Executive Officers that remain outstanding as of December 31, 2022:</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23"/>
        </w:trPr>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gridSpan w:val="3"/>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35"/>
        </w:trPr>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66"/>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 Options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24"/>
        </w:trPr>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37"/>
              <w:spacing w:after="0" w:line="124"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35"/>
        </w:trPr>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26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8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r>
      <w:tr>
        <w:trPr>
          <w:trHeight w:val="135"/>
        </w:trPr>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240" w:type="dxa"/>
            <w:vAlign w:val="bottom"/>
          </w:tcPr>
          <w:p>
            <w:pPr>
              <w:spacing w:after="0"/>
              <w:rPr>
                <w:sz w:val="11"/>
                <w:szCs w:val="11"/>
                <w:color w:val="auto"/>
              </w:rPr>
            </w:pPr>
          </w:p>
        </w:tc>
        <w:tc>
          <w:tcPr>
            <w:tcW w:w="118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Unexercisable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26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18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r>
      <w:tr>
        <w:trPr>
          <w:trHeight w:val="167"/>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r>
      <w:tr>
        <w:trPr>
          <w:trHeight w:val="157"/>
        </w:trPr>
        <w:tc>
          <w:tcPr>
            <w:tcW w:w="15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1420" w:type="dxa"/>
            <w:vAlign w:val="bottom"/>
            <w:gridSpan w:val="2"/>
          </w:tcPr>
          <w:p>
            <w:pPr>
              <w:spacing w:after="0"/>
              <w:rPr>
                <w:sz w:val="13"/>
                <w:szCs w:val="13"/>
                <w:color w:val="auto"/>
              </w:rPr>
            </w:pPr>
          </w:p>
        </w:tc>
      </w:tr>
      <w:tr>
        <w:trPr>
          <w:trHeight w:val="162"/>
        </w:trPr>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Barry Quart, Pharm.D.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710,601</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05/01/2013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05/01/2023</w:t>
            </w:r>
          </w:p>
        </w:tc>
      </w:tr>
      <w:tr>
        <w:trPr>
          <w:trHeight w:val="16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136,666</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01/03/2014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01/03/2024</w:t>
            </w:r>
          </w:p>
        </w:tc>
      </w:tr>
      <w:tr>
        <w:trPr>
          <w:trHeight w:val="162"/>
        </w:trPr>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12/12/2014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12/12/2024</w:t>
            </w:r>
          </w:p>
        </w:tc>
      </w:tr>
      <w:tr>
        <w:trPr>
          <w:trHeight w:val="16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12/22/2015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12/22/2025</w:t>
            </w:r>
          </w:p>
        </w:tc>
      </w:tr>
      <w:tr>
        <w:trPr>
          <w:trHeight w:val="162"/>
        </w:trPr>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310,000</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12/21/2016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12/21/2026</w:t>
            </w:r>
          </w:p>
        </w:tc>
      </w:tr>
      <w:tr>
        <w:trPr>
          <w:trHeight w:val="16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310,000</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12/18/2017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12/18/2027</w:t>
            </w:r>
          </w:p>
        </w:tc>
      </w:tr>
      <w:tr>
        <w:trPr>
          <w:trHeight w:val="162"/>
        </w:trPr>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12/15/2018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12/15/2028</w:t>
            </w:r>
          </w:p>
        </w:tc>
      </w:tr>
      <w:tr>
        <w:trPr>
          <w:trHeight w:val="16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243,750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81,250</w:t>
            </w:r>
          </w:p>
        </w:tc>
        <w:tc>
          <w:tcPr>
            <w:tcW w:w="5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12/19/2019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12/19/2029</w:t>
            </w:r>
          </w:p>
        </w:tc>
      </w:tr>
      <w:tr>
        <w:trPr>
          <w:trHeight w:val="162"/>
        </w:trPr>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189,583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160,417</w:t>
            </w:r>
          </w:p>
        </w:tc>
        <w:tc>
          <w:tcPr>
            <w:tcW w:w="54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10/13/2020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10/13/2030</w:t>
            </w:r>
          </w:p>
        </w:tc>
      </w:tr>
      <w:tr>
        <w:trPr>
          <w:trHeight w:val="164"/>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150,471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240,363</w:t>
            </w:r>
          </w:p>
        </w:tc>
        <w:tc>
          <w:tcPr>
            <w:tcW w:w="5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10/13/2021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10/13/2031</w:t>
            </w:r>
          </w:p>
        </w:tc>
      </w:tr>
      <w:tr>
        <w:trPr>
          <w:trHeight w:val="322"/>
        </w:trPr>
        <w:tc>
          <w:tcPr>
            <w:tcW w:w="15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420" w:type="dxa"/>
            <w:vAlign w:val="bottom"/>
            <w:gridSpan w:val="2"/>
          </w:tcPr>
          <w:p>
            <w:pPr>
              <w:spacing w:after="0"/>
              <w:rPr>
                <w:sz w:val="24"/>
                <w:szCs w:val="24"/>
                <w:color w:val="auto"/>
              </w:rPr>
            </w:pPr>
          </w:p>
        </w:tc>
      </w:tr>
      <w:tr>
        <w:trPr>
          <w:trHeight w:val="162"/>
        </w:trPr>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Kimberly Manhard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12/22/2015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12/22/2025</w:t>
            </w:r>
          </w:p>
        </w:tc>
      </w:tr>
      <w:tr>
        <w:trPr>
          <w:trHeight w:val="16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01/28/2016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01/28/2026</w:t>
            </w:r>
          </w:p>
        </w:tc>
      </w:tr>
      <w:tr>
        <w:trPr>
          <w:trHeight w:val="162"/>
        </w:trPr>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48,416</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12/21/2016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12/21/2026</w:t>
            </w:r>
          </w:p>
        </w:tc>
      </w:tr>
      <w:tr>
        <w:trPr>
          <w:trHeight w:val="16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120,000</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12/18/2017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12/18/2027</w:t>
            </w:r>
          </w:p>
        </w:tc>
      </w:tr>
      <w:tr>
        <w:trPr>
          <w:trHeight w:val="162"/>
        </w:trPr>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12/15/2018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12/15/2028</w:t>
            </w:r>
          </w:p>
        </w:tc>
      </w:tr>
      <w:tr>
        <w:trPr>
          <w:trHeight w:val="16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5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12/19/2019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12/19/2029</w:t>
            </w:r>
          </w:p>
        </w:tc>
      </w:tr>
      <w:tr>
        <w:trPr>
          <w:trHeight w:val="162"/>
        </w:trPr>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54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10/13/2020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10/13/2030</w:t>
            </w:r>
          </w:p>
        </w:tc>
      </w:tr>
      <w:tr>
        <w:trPr>
          <w:trHeight w:val="16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56,703</w:t>
            </w:r>
          </w:p>
        </w:tc>
        <w:tc>
          <w:tcPr>
            <w:tcW w:w="5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10/13/2021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10/13/2031</w:t>
            </w:r>
          </w:p>
        </w:tc>
      </w:tr>
      <w:tr>
        <w:trPr>
          <w:trHeight w:val="162"/>
        </w:trPr>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20,745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145,216</w:t>
            </w:r>
          </w:p>
        </w:tc>
        <w:tc>
          <w:tcPr>
            <w:tcW w:w="54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07/25/2022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07/25/2032</w:t>
            </w:r>
          </w:p>
        </w:tc>
      </w:tr>
      <w:tr>
        <w:trPr>
          <w:trHeight w:val="405"/>
        </w:trPr>
        <w:tc>
          <w:tcPr>
            <w:tcW w:w="15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420" w:type="dxa"/>
            <w:vAlign w:val="bottom"/>
            <w:gridSpan w:val="2"/>
          </w:tcPr>
          <w:p>
            <w:pPr>
              <w:spacing w:after="0"/>
              <w:rPr>
                <w:sz w:val="24"/>
                <w:szCs w:val="24"/>
                <w:color w:val="auto"/>
              </w:rPr>
            </w:pPr>
          </w:p>
        </w:tc>
      </w:tr>
      <w:tr>
        <w:trPr>
          <w:trHeight w:val="162"/>
        </w:trPr>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David Szekeres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170,000</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03/17/2016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03/17/2026</w:t>
            </w:r>
          </w:p>
        </w:tc>
      </w:tr>
      <w:tr>
        <w:trPr>
          <w:trHeight w:val="16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10/07/2016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10/07/2026</w:t>
            </w:r>
          </w:p>
        </w:tc>
      </w:tr>
      <w:tr>
        <w:trPr>
          <w:trHeight w:val="162"/>
        </w:trPr>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79,167</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12/21/2016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12/21/2026</w:t>
            </w:r>
          </w:p>
        </w:tc>
      </w:tr>
      <w:tr>
        <w:trPr>
          <w:trHeight w:val="16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12/18/2017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12/18/2027</w:t>
            </w:r>
          </w:p>
        </w:tc>
      </w:tr>
      <w:tr>
        <w:trPr>
          <w:trHeight w:val="162"/>
        </w:trPr>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92,000</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12/15/2018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12/15/2028</w:t>
            </w:r>
          </w:p>
        </w:tc>
      </w:tr>
      <w:tr>
        <w:trPr>
          <w:trHeight w:val="16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28,750</w:t>
            </w:r>
          </w:p>
        </w:tc>
        <w:tc>
          <w:tcPr>
            <w:tcW w:w="5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12/19/2019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12/19/2029</w:t>
            </w:r>
          </w:p>
        </w:tc>
      </w:tr>
      <w:tr>
        <w:trPr>
          <w:trHeight w:val="162"/>
        </w:trPr>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84,500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71,500</w:t>
            </w:r>
          </w:p>
        </w:tc>
        <w:tc>
          <w:tcPr>
            <w:tcW w:w="54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10/13/2020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10/13/2030</w:t>
            </w:r>
          </w:p>
        </w:tc>
      </w:tr>
      <w:tr>
        <w:trPr>
          <w:trHeight w:val="162"/>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56,703</w:t>
            </w:r>
          </w:p>
        </w:tc>
        <w:tc>
          <w:tcPr>
            <w:tcW w:w="5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10/13/2021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10/13/2031</w:t>
            </w:r>
          </w:p>
        </w:tc>
      </w:tr>
      <w:tr>
        <w:trPr>
          <w:trHeight w:val="162"/>
        </w:trPr>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20,745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145,216</w:t>
            </w:r>
          </w:p>
        </w:tc>
        <w:tc>
          <w:tcPr>
            <w:tcW w:w="54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07/25/2022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07/25/2032</w:t>
            </w:r>
          </w:p>
        </w:tc>
      </w:tr>
    </w:tbl>
    <w:p>
      <w:pPr>
        <w:ind w:left="480" w:hanging="188"/>
        <w:spacing w:after="0"/>
        <w:tabs>
          <w:tab w:leader="none" w:pos="4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vest monthly over a four-year period.</w:t>
      </w:r>
    </w:p>
    <w:p>
      <w:pPr>
        <w:ind w:left="300" w:right="519" w:hanging="8"/>
        <w:spacing w:after="0" w:line="238" w:lineRule="auto"/>
        <w:tabs>
          <w:tab w:leader="none" w:pos="49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vest monthly over a four-year period, with 33% of the shares vesting during the first year, 33% of the shares vesting during the second year, 22% of the shares vesting during the third year and the remaining 12% of the shares vesting during the fourth year.</w:t>
      </w:r>
    </w:p>
    <w:p>
      <w:pPr>
        <w:ind w:left="480" w:hanging="188"/>
        <w:spacing w:after="0"/>
        <w:tabs>
          <w:tab w:leader="none" w:pos="4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vest quarterly over a two-year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7"/>
              </w:rPr>
              <w:t>Restricted Stock Awards</w:t>
            </w: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285"/>
        </w:trPr>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Shares or Units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Market Value of Shares or</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2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Stock that Have Not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Units of Stock that Have</w:t>
            </w: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7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Vested (#)</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7"/>
              <w:spacing w:after="0" w:line="175" w:lineRule="exact"/>
              <w:rPr>
                <w:sz w:val="20"/>
                <w:szCs w:val="20"/>
                <w:color w:val="auto"/>
              </w:rPr>
            </w:pPr>
            <w:r>
              <w:rPr>
                <w:rFonts w:ascii="Times New Roman" w:cs="Times New Roman" w:eastAsia="Times New Roman" w:hAnsi="Times New Roman"/>
                <w:sz w:val="13"/>
                <w:szCs w:val="13"/>
                <w:b w:val="1"/>
                <w:bCs w:val="1"/>
                <w:color w:val="auto"/>
                <w:w w:val="91"/>
              </w:rPr>
              <w:t>Not Vested ($)</w:t>
            </w:r>
            <w:r>
              <w:rPr>
                <w:rFonts w:ascii="Times New Roman" w:cs="Times New Roman" w:eastAsia="Times New Roman" w:hAnsi="Times New Roman"/>
                <w:sz w:val="16"/>
                <w:szCs w:val="16"/>
                <w:b w:val="1"/>
                <w:bCs w:val="1"/>
                <w:color w:val="auto"/>
                <w:w w:val="91"/>
                <w:vertAlign w:val="superscript"/>
              </w:rPr>
              <w:t>(1)</w:t>
            </w:r>
          </w:p>
        </w:tc>
        <w:tc>
          <w:tcPr>
            <w:tcW w:w="80" w:type="dxa"/>
            <w:vAlign w:val="bottom"/>
          </w:tcPr>
          <w:p>
            <w:pPr>
              <w:spacing w:after="0"/>
              <w:rPr>
                <w:sz w:val="15"/>
                <w:szCs w:val="15"/>
                <w:color w:val="auto"/>
              </w:rPr>
            </w:pPr>
          </w:p>
        </w:tc>
        <w:tc>
          <w:tcPr>
            <w:tcW w:w="15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Grant Date</w:t>
            </w:r>
          </w:p>
        </w:tc>
      </w:tr>
      <w:tr>
        <w:trPr>
          <w:trHeight w:val="155"/>
        </w:trPr>
        <w:tc>
          <w:tcPr>
            <w:tcW w:w="3280" w:type="dxa"/>
            <w:vAlign w:val="bottom"/>
            <w:gridSpan w:val="2"/>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60" w:type="dxa"/>
            <w:vAlign w:val="bottom"/>
            <w:gridSpan w:val="2"/>
          </w:tcPr>
          <w:p>
            <w:pPr>
              <w:spacing w:after="0"/>
              <w:rPr>
                <w:sz w:val="13"/>
                <w:szCs w:val="13"/>
                <w:color w:val="auto"/>
              </w:rPr>
            </w:pPr>
          </w:p>
        </w:tc>
      </w:tr>
      <w:tr>
        <w:trPr>
          <w:trHeight w:val="162"/>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Barry Quart, Pharm.D.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29,166</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72,915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10/13/2020</w:t>
            </w:r>
          </w:p>
        </w:tc>
      </w:tr>
      <w:tr>
        <w:trPr>
          <w:trHeight w:val="164"/>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130,929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327,323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10/13/2021</w:t>
            </w:r>
          </w:p>
        </w:tc>
      </w:tr>
      <w:tr>
        <w:trPr>
          <w:trHeight w:val="160"/>
        </w:trPr>
        <w:tc>
          <w:tcPr>
            <w:tcW w:w="3280" w:type="dxa"/>
            <w:vAlign w:val="bottom"/>
            <w:gridSpan w:val="2"/>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60" w:type="dxa"/>
            <w:vAlign w:val="bottom"/>
            <w:gridSpan w:val="2"/>
          </w:tcPr>
          <w:p>
            <w:pPr>
              <w:spacing w:after="0"/>
              <w:rPr>
                <w:sz w:val="13"/>
                <w:szCs w:val="13"/>
                <w:color w:val="auto"/>
              </w:rPr>
            </w:pPr>
          </w:p>
        </w:tc>
      </w:tr>
      <w:tr>
        <w:trPr>
          <w:trHeight w:val="162"/>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Kimberly Manhard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10/13/2020</w:t>
            </w:r>
          </w:p>
        </w:tc>
      </w:tr>
      <w:tr>
        <w:trPr>
          <w:trHeight w:val="164"/>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37,064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92,660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10/13/2021</w:t>
            </w:r>
          </w:p>
        </w:tc>
      </w:tr>
      <w:tr>
        <w:trPr>
          <w:trHeight w:val="241"/>
        </w:trPr>
        <w:tc>
          <w:tcPr>
            <w:tcW w:w="3280" w:type="dxa"/>
            <w:vAlign w:val="bottom"/>
            <w:gridSpan w:val="2"/>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60" w:type="dxa"/>
            <w:vAlign w:val="bottom"/>
            <w:gridSpan w:val="2"/>
          </w:tcPr>
          <w:p>
            <w:pPr>
              <w:spacing w:after="0"/>
              <w:rPr>
                <w:sz w:val="20"/>
                <w:szCs w:val="20"/>
                <w:color w:val="auto"/>
              </w:rPr>
            </w:pPr>
          </w:p>
        </w:tc>
      </w:tr>
      <w:tr>
        <w:trPr>
          <w:trHeight w:val="162"/>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David Szekeres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10/13/2020</w:t>
            </w:r>
          </w:p>
        </w:tc>
      </w:tr>
      <w:tr>
        <w:trPr>
          <w:trHeight w:val="164"/>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37,064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92,660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10/13/2021</w:t>
            </w:r>
          </w:p>
        </w:tc>
      </w:tr>
    </w:tbl>
    <w:p>
      <w:pPr>
        <w:spacing w:after="0" w:line="124" w:lineRule="exact"/>
        <w:rPr>
          <w:sz w:val="20"/>
          <w:szCs w:val="20"/>
          <w:color w:val="auto"/>
        </w:rPr>
      </w:pPr>
    </w:p>
    <w:p>
      <w:pPr>
        <w:ind w:left="500" w:hanging="208"/>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of unvested shares is based on the closing price of our shares of common stock of $2.50 on December 30, 2022.</w:t>
      </w:r>
    </w:p>
    <w:p>
      <w:pPr>
        <w:spacing w:after="0" w:line="3" w:lineRule="exact"/>
        <w:rPr>
          <w:rFonts w:ascii="Times New Roman" w:cs="Times New Roman" w:eastAsia="Times New Roman" w:hAnsi="Times New Roman"/>
          <w:sz w:val="14"/>
          <w:szCs w:val="14"/>
          <w:color w:val="auto"/>
        </w:rPr>
      </w:pPr>
    </w:p>
    <w:p>
      <w:pPr>
        <w:ind w:left="500" w:hanging="208"/>
        <w:spacing w:after="0" w:line="221"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quarterly over a four-year period.</w:t>
      </w:r>
    </w:p>
    <w:p>
      <w:pPr>
        <w:ind w:left="300" w:right="399" w:hanging="8"/>
        <w:spacing w:after="0" w:line="239" w:lineRule="auto"/>
        <w:tabs>
          <w:tab w:leader="none" w:pos="50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quarterly over a four-year period, with 33% of the shares vesting during the first year, 33% of the shares vesting during the second year, 22% of the shares vesting during the third year and the remaining 12% of the shares vesting during the fourth year.</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Performance Stock Awards</w:t>
            </w: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85"/>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Equity Incentive Plan</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80" w:type="dxa"/>
            <w:vAlign w:val="bottom"/>
          </w:tcPr>
          <w:p>
            <w:pPr>
              <w:spacing w:after="0"/>
              <w:rPr>
                <w:sz w:val="11"/>
                <w:szCs w:val="11"/>
                <w:color w:val="auto"/>
              </w:rPr>
            </w:pPr>
          </w:p>
        </w:tc>
        <w:tc>
          <w:tcPr>
            <w:tcW w:w="13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 Incentive Plan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Awards: Market Value</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8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 Units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Number 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Unearned Shares,</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Units of Stock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Stock that</w:t>
            </w:r>
          </w:p>
        </w:tc>
        <w:tc>
          <w:tcPr>
            <w:tcW w:w="80" w:type="dxa"/>
            <w:vAlign w:val="bottom"/>
          </w:tcPr>
          <w:p>
            <w:pPr>
              <w:spacing w:after="0"/>
              <w:rPr>
                <w:sz w:val="11"/>
                <w:szCs w:val="11"/>
                <w:color w:val="auto"/>
              </w:rPr>
            </w:pPr>
          </w:p>
        </w:tc>
        <w:tc>
          <w:tcPr>
            <w:tcW w:w="13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Unearned Shares, Units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 Other Rights</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80" w:type="dxa"/>
            <w:vAlign w:val="bottom"/>
          </w:tcPr>
          <w:p>
            <w:pPr>
              <w:spacing w:after="0"/>
              <w:rPr>
                <w:sz w:val="11"/>
                <w:szCs w:val="11"/>
                <w:color w:val="auto"/>
              </w:rPr>
            </w:pPr>
          </w:p>
        </w:tc>
        <w:tc>
          <w:tcPr>
            <w:tcW w:w="9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Have Not Vested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or Other Rights that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5"/>
              </w:rPr>
              <w:t>that Have Not Yet</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Vested (#)</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7"/>
              <w:spacing w:after="0" w:line="175" w:lineRule="exact"/>
              <w:rPr>
                <w:sz w:val="20"/>
                <w:szCs w:val="20"/>
                <w:color w:val="auto"/>
              </w:rPr>
            </w:pPr>
            <w:r>
              <w:rPr>
                <w:rFonts w:ascii="Times New Roman" w:cs="Times New Roman" w:eastAsia="Times New Roman" w:hAnsi="Times New Roman"/>
                <w:sz w:val="13"/>
                <w:szCs w:val="13"/>
                <w:b w:val="1"/>
                <w:bCs w:val="1"/>
                <w:color w:val="auto"/>
                <w:w w:val="94"/>
              </w:rPr>
              <w:t>($)</w:t>
            </w:r>
            <w:r>
              <w:rPr>
                <w:rFonts w:ascii="Times New Roman" w:cs="Times New Roman" w:eastAsia="Times New Roman" w:hAnsi="Times New Roman"/>
                <w:sz w:val="16"/>
                <w:szCs w:val="16"/>
                <w:b w:val="1"/>
                <w:bCs w:val="1"/>
                <w:color w:val="auto"/>
                <w:w w:val="94"/>
                <w:vertAlign w:val="superscript"/>
              </w:rPr>
              <w:t>(1)</w:t>
            </w:r>
          </w:p>
        </w:tc>
        <w:tc>
          <w:tcPr>
            <w:tcW w:w="80" w:type="dxa"/>
            <w:vAlign w:val="bottom"/>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Have Not Yet Vested (#)</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Vested ($)</w:t>
            </w:r>
          </w:p>
        </w:tc>
        <w:tc>
          <w:tcPr>
            <w:tcW w:w="80" w:type="dxa"/>
            <w:vAlign w:val="bottom"/>
          </w:tcPr>
          <w:p>
            <w:pPr>
              <w:spacing w:after="0"/>
              <w:rPr>
                <w:sz w:val="15"/>
                <w:szCs w:val="15"/>
                <w:color w:val="auto"/>
              </w:rPr>
            </w:pPr>
          </w:p>
        </w:tc>
        <w:tc>
          <w:tcPr>
            <w:tcW w:w="10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80" w:type="dxa"/>
            <w:vAlign w:val="bottom"/>
          </w:tcPr>
          <w:p>
            <w:pPr>
              <w:spacing w:after="0"/>
              <w:rPr>
                <w:sz w:val="15"/>
                <w:szCs w:val="15"/>
                <w:color w:val="auto"/>
              </w:rPr>
            </w:pPr>
          </w:p>
        </w:tc>
      </w:tr>
      <w:tr>
        <w:trPr>
          <w:trHeight w:val="156"/>
        </w:trPr>
        <w:tc>
          <w:tcPr>
            <w:tcW w:w="216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Barry Quart, Pharm.D.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r>
      <w:tr>
        <w:trPr>
          <w:trHeight w:val="322"/>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Kimberly Manhard</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149,365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373,413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41,490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07/25/2022</w:t>
            </w:r>
          </w:p>
        </w:tc>
        <w:tc>
          <w:tcPr>
            <w:tcW w:w="80" w:type="dxa"/>
            <w:vAlign w:val="bottom"/>
          </w:tcPr>
          <w:p>
            <w:pPr>
              <w:spacing w:after="0"/>
              <w:rPr>
                <w:sz w:val="24"/>
                <w:szCs w:val="24"/>
                <w:color w:val="auto"/>
              </w:rPr>
            </w:pPr>
          </w:p>
        </w:tc>
      </w:tr>
      <w:tr>
        <w:trPr>
          <w:trHeight w:val="164"/>
        </w:trPr>
        <w:tc>
          <w:tcPr>
            <w:tcW w:w="216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David Szekeres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49,788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124,470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116,163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290,408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07/25/2022</w:t>
            </w:r>
          </w:p>
        </w:tc>
        <w:tc>
          <w:tcPr>
            <w:tcW w:w="80" w:type="dxa"/>
            <w:vAlign w:val="bottom"/>
            <w:shd w:val="clear" w:color="auto" w:fill="CFF0FC"/>
          </w:tcPr>
          <w:p>
            <w:pPr>
              <w:spacing w:after="0"/>
              <w:rPr>
                <w:sz w:val="14"/>
                <w:szCs w:val="14"/>
                <w:color w:val="auto"/>
              </w:rPr>
            </w:pPr>
          </w:p>
        </w:tc>
      </w:tr>
    </w:tbl>
    <w:p>
      <w:pPr>
        <w:spacing w:after="0" w:line="126" w:lineRule="exact"/>
        <w:rPr>
          <w:sz w:val="20"/>
          <w:szCs w:val="20"/>
          <w:color w:val="auto"/>
        </w:rPr>
      </w:pPr>
    </w:p>
    <w:p>
      <w:pPr>
        <w:ind w:left="500" w:hanging="208"/>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of unvested shares is based on the closing price of our shares of common stock of $2.50 on December 30, 2022.</w:t>
      </w:r>
    </w:p>
    <w:p>
      <w:pPr>
        <w:spacing w:after="0" w:line="3" w:lineRule="exact"/>
        <w:rPr>
          <w:rFonts w:ascii="Times New Roman" w:cs="Times New Roman" w:eastAsia="Times New Roman" w:hAnsi="Times New Roman"/>
          <w:sz w:val="14"/>
          <w:szCs w:val="14"/>
          <w:color w:val="auto"/>
        </w:rPr>
      </w:pPr>
    </w:p>
    <w:p>
      <w:pPr>
        <w:ind w:left="300" w:right="419" w:hanging="8"/>
        <w:spacing w:after="0" w:line="228" w:lineRule="auto"/>
        <w:tabs>
          <w:tab w:leader="none" w:pos="50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stock units vest upon achievement of certain corporate performance goals and time-based vesting. The PSUs will vest in full, if the performance goals have been achieved, on the first anniversary of the grant date subject to continued employment through such date. In January 2023, the Compensation Committee determined that certain PSU performance goals had been achieved and only the time-based vesting remained. Assuming continued employment through July 25, 2023, Kimberly Manhard will receive 149,365 shares of common stock and David Szekeres will receive 49,788 shares of common stock.</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Programs</w:t>
      </w:r>
    </w:p>
    <w:p>
      <w:pPr>
        <w:spacing w:after="0" w:line="121" w:lineRule="exact"/>
        <w:rPr>
          <w:sz w:val="20"/>
          <w:szCs w:val="20"/>
          <w:color w:val="auto"/>
        </w:rPr>
      </w:pPr>
    </w:p>
    <w:p>
      <w:pPr>
        <w:ind w:left="300" w:right="459" w:firstLine="441"/>
        <w:spacing w:after="0" w:line="255" w:lineRule="auto"/>
        <w:rPr>
          <w:sz w:val="20"/>
          <w:szCs w:val="20"/>
          <w:color w:val="auto"/>
        </w:rPr>
      </w:pPr>
      <w:r>
        <w:rPr>
          <w:rFonts w:ascii="Times New Roman" w:cs="Times New Roman" w:eastAsia="Times New Roman" w:hAnsi="Times New Roman"/>
          <w:sz w:val="18"/>
          <w:szCs w:val="18"/>
          <w:color w:val="auto"/>
        </w:rPr>
        <w:t>The Named Executive Officers are eligible to participate in the Company’s health, welfare, paid time-off, retirement savings and employee stock purchase benefit programs on the same terms as are available to other employees. These benefit programs are designed to enable the Company to attract and retain its workforce in a competitive marketplace. The retirement savings plan helps employees save and prepare financially for retirement. Our Employee Stock Purchase Plan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provides employees with an opportunity for increased equity ownership in the Company. Other than these benefits generally available to all employees, Named Executive Officers do not receive any other benefits or perquisites.</w:t>
      </w:r>
    </w:p>
    <w:p>
      <w:pPr>
        <w:spacing w:after="0" w:line="185" w:lineRule="exact"/>
        <w:rPr>
          <w:sz w:val="20"/>
          <w:szCs w:val="20"/>
          <w:color w:val="auto"/>
        </w:rPr>
      </w:pPr>
    </w:p>
    <w:p>
      <w:pPr>
        <w:ind w:left="300" w:right="359" w:firstLine="441"/>
        <w:spacing w:after="0" w:line="257" w:lineRule="auto"/>
        <w:rPr>
          <w:sz w:val="20"/>
          <w:szCs w:val="20"/>
          <w:color w:val="auto"/>
        </w:rPr>
      </w:pPr>
      <w:r>
        <w:rPr>
          <w:rFonts w:ascii="Times New Roman" w:cs="Times New Roman" w:eastAsia="Times New Roman" w:hAnsi="Times New Roman"/>
          <w:sz w:val="18"/>
          <w:szCs w:val="18"/>
          <w:color w:val="auto"/>
        </w:rPr>
        <w:t>Our retirement savings plan (“</w:t>
      </w: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 is a tax-qualified retirement savings plan, pursuant to which all employees, including the Named Executive Officers, are able to contribute the lesser of 100% of their annual compensation (as defined in the 401(k) Plan) or the limit prescribed by the Internal Revenue Service to the 401(k) Plan on a pre-tax basis. In 2022, we matched employee contributions to the 401(k) Plan in an amount equal to 50% of each participant’s contribution during the plan year, up to a maximum amount equal to the lesser of either: (a) 3% of each participant’s annual compensation; or (b) $9,150.</w:t>
      </w:r>
    </w:p>
    <w:p>
      <w:pPr>
        <w:spacing w:after="0" w:line="186" w:lineRule="exact"/>
        <w:rPr>
          <w:sz w:val="20"/>
          <w:szCs w:val="20"/>
          <w:color w:val="auto"/>
        </w:rPr>
      </w:pPr>
    </w:p>
    <w:p>
      <w:pPr>
        <w:ind w:left="300" w:right="379" w:firstLine="441"/>
        <w:spacing w:after="0" w:line="312" w:lineRule="auto"/>
        <w:rPr>
          <w:sz w:val="20"/>
          <w:szCs w:val="20"/>
          <w:color w:val="auto"/>
        </w:rPr>
      </w:pPr>
      <w:r>
        <w:rPr>
          <w:rFonts w:ascii="Times New Roman" w:cs="Times New Roman" w:eastAsia="Times New Roman" w:hAnsi="Times New Roman"/>
          <w:sz w:val="17"/>
          <w:szCs w:val="17"/>
          <w:color w:val="auto"/>
        </w:rPr>
        <w:t>Our ESPP allows employees, including the Named Executive Officers, to voluntarily purchase common stock under the ESPP twice per calendar year (up to 10% of each employee’s base salary, hourly compensation and 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 w:name="page33"/>
    <w:bookmarkEnd w:id="32"/>
    <w:p>
      <w:pPr>
        <w:ind w:left="300" w:right="379"/>
        <w:spacing w:after="0" w:line="282" w:lineRule="auto"/>
        <w:rPr>
          <w:sz w:val="20"/>
          <w:szCs w:val="20"/>
          <w:color w:val="auto"/>
        </w:rPr>
      </w:pPr>
      <w:r>
        <w:rPr>
          <w:rFonts w:ascii="Times New Roman" w:cs="Times New Roman" w:eastAsia="Times New Roman" w:hAnsi="Times New Roman"/>
          <w:sz w:val="18"/>
          <w:szCs w:val="18"/>
          <w:color w:val="auto"/>
        </w:rPr>
        <w:t>cash bonus paid, subject to certain limitations) over the six-month offering period at 85% of the fair market value of the common stock at specified dates.</w:t>
      </w:r>
    </w:p>
    <w:p>
      <w:pPr>
        <w:spacing w:after="0" w:line="162" w:lineRule="exact"/>
        <w:rPr>
          <w:sz w:val="20"/>
          <w:szCs w:val="20"/>
          <w:color w:val="auto"/>
        </w:rPr>
      </w:pPr>
    </w:p>
    <w:p>
      <w:pPr>
        <w:ind w:left="300" w:right="539" w:firstLine="441"/>
        <w:spacing w:after="0" w:line="266" w:lineRule="auto"/>
        <w:rPr>
          <w:sz w:val="20"/>
          <w:szCs w:val="20"/>
          <w:color w:val="auto"/>
        </w:rPr>
      </w:pPr>
      <w:r>
        <w:rPr>
          <w:rFonts w:ascii="Times New Roman" w:cs="Times New Roman" w:eastAsia="Times New Roman" w:hAnsi="Times New Roman"/>
          <w:sz w:val="18"/>
          <w:szCs w:val="18"/>
          <w:color w:val="auto"/>
        </w:rPr>
        <w:t>Our vacation cash-out policy allows all employees, including Named Executive Officers, the opportunity to receive pay in lieu of time off for up to 40 hours per calendar year of accrued unused vacation if their vacation balance is approaching the policy’s accrual cap.</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and Separation Arrangements</w:t>
      </w:r>
    </w:p>
    <w:p>
      <w:pPr>
        <w:spacing w:after="0" w:line="121" w:lineRule="exact"/>
        <w:rPr>
          <w:sz w:val="20"/>
          <w:szCs w:val="20"/>
          <w:color w:val="auto"/>
        </w:rPr>
      </w:pPr>
    </w:p>
    <w:p>
      <w:pPr>
        <w:ind w:left="300" w:right="359" w:firstLine="441"/>
        <w:spacing w:after="0" w:line="253" w:lineRule="auto"/>
        <w:rPr>
          <w:sz w:val="20"/>
          <w:szCs w:val="20"/>
          <w:color w:val="auto"/>
        </w:rPr>
      </w:pPr>
      <w:r>
        <w:rPr>
          <w:rFonts w:ascii="Times New Roman" w:cs="Times New Roman" w:eastAsia="Times New Roman" w:hAnsi="Times New Roman"/>
          <w:sz w:val="18"/>
          <w:szCs w:val="18"/>
          <w:color w:val="auto"/>
        </w:rPr>
        <w:t>We have entered into employment agreements with each Named Executive Officer, the terms of which provide, among other things, for certain termination and change-in-control payments and benefits. Our Board approved the termination and change-in-control payments and benefits in order to maintain market-competitive compensation practices and to mitigate some of the risk that exists for executives working in a biopharmaceutical company at our current stage of operation, where the possibility exists that a change in control could occur if our business efforts succeed. These arrangements are intended to retain highly skilled executives who have, or who may seek, alternatives that may appear to them to be less risky in terms of the potential loss of their position following a change in control, particularly where the services of these executive officers may not be required following a transaction. We do not provide any of our Named Executive Officers with gross-up protection for “golden parachute” excise taxes in any of these arrangements.</w:t>
      </w:r>
    </w:p>
    <w:p>
      <w:pPr>
        <w:spacing w:after="0" w:line="194" w:lineRule="exact"/>
        <w:rPr>
          <w:sz w:val="20"/>
          <w:szCs w:val="20"/>
          <w:color w:val="auto"/>
        </w:rPr>
      </w:pPr>
    </w:p>
    <w:p>
      <w:pPr>
        <w:ind w:left="300" w:right="699" w:firstLine="441"/>
        <w:spacing w:after="0" w:line="266" w:lineRule="auto"/>
        <w:rPr>
          <w:sz w:val="20"/>
          <w:szCs w:val="20"/>
          <w:color w:val="auto"/>
        </w:rPr>
      </w:pPr>
      <w:r>
        <w:rPr>
          <w:rFonts w:ascii="Times New Roman" w:cs="Times New Roman" w:eastAsia="Times New Roman" w:hAnsi="Times New Roman"/>
          <w:sz w:val="18"/>
          <w:szCs w:val="18"/>
          <w:color w:val="auto"/>
        </w:rPr>
        <w:t>A summary of the terms of each of the arrangements we have with each Named Executive Officer who is currently employed by the Company and the potential value of the payments and benefits on termination of employment or change in control is provided below under the headings “Employment Arrangements”.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121" w:lineRule="exact"/>
        <w:rPr>
          <w:sz w:val="20"/>
          <w:szCs w:val="20"/>
          <w:color w:val="auto"/>
        </w:rPr>
      </w:pPr>
    </w:p>
    <w:p>
      <w:pPr>
        <w:ind w:left="300" w:right="559" w:firstLine="441"/>
        <w:spacing w:after="0" w:line="282" w:lineRule="auto"/>
        <w:rPr>
          <w:sz w:val="20"/>
          <w:szCs w:val="20"/>
          <w:color w:val="auto"/>
        </w:rPr>
      </w:pPr>
      <w:r>
        <w:rPr>
          <w:rFonts w:ascii="Times New Roman" w:cs="Times New Roman" w:eastAsia="Times New Roman" w:hAnsi="Times New Roman"/>
          <w:sz w:val="18"/>
          <w:szCs w:val="18"/>
          <w:color w:val="auto"/>
        </w:rPr>
        <w:t>Below are descriptions of the material terms of the employment arrangements entered into with our Named Executive Officers.</w:t>
      </w:r>
    </w:p>
    <w:p>
      <w:pPr>
        <w:spacing w:after="0" w:line="2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Barry Quart, Pharm.D.</w:t>
      </w:r>
    </w:p>
    <w:p>
      <w:pPr>
        <w:spacing w:after="0" w:line="119" w:lineRule="exact"/>
        <w:rPr>
          <w:sz w:val="20"/>
          <w:szCs w:val="20"/>
          <w:color w:val="auto"/>
        </w:rPr>
      </w:pPr>
    </w:p>
    <w:p>
      <w:pPr>
        <w:ind w:left="300" w:right="379" w:firstLine="441"/>
        <w:spacing w:after="0" w:line="254" w:lineRule="auto"/>
        <w:rPr>
          <w:sz w:val="20"/>
          <w:szCs w:val="20"/>
          <w:color w:val="auto"/>
        </w:rPr>
      </w:pPr>
      <w:r>
        <w:rPr>
          <w:rFonts w:ascii="Times New Roman" w:cs="Times New Roman" w:eastAsia="Times New Roman" w:hAnsi="Times New Roman"/>
          <w:sz w:val="18"/>
          <w:szCs w:val="18"/>
          <w:color w:val="auto"/>
        </w:rPr>
        <w:t>In connection with his appointment as Chief Executive Officer, the Company entered into an executive employment agreement with Barry Quart, Pharm.D. on May 1, 2013 (“</w:t>
      </w:r>
      <w:r>
        <w:rPr>
          <w:rFonts w:ascii="Times New Roman" w:cs="Times New Roman" w:eastAsia="Times New Roman" w:hAnsi="Times New Roman"/>
          <w:sz w:val="18"/>
          <w:szCs w:val="18"/>
          <w:b w:val="1"/>
          <w:bCs w:val="1"/>
          <w:i w:val="1"/>
          <w:iCs w:val="1"/>
          <w:color w:val="auto"/>
        </w:rPr>
        <w:t>Quart Agreement</w:t>
      </w:r>
      <w:r>
        <w:rPr>
          <w:rFonts w:ascii="Times New Roman" w:cs="Times New Roman" w:eastAsia="Times New Roman" w:hAnsi="Times New Roman"/>
          <w:sz w:val="18"/>
          <w:szCs w:val="18"/>
          <w:color w:val="auto"/>
        </w:rPr>
        <w:t>”). Certain provisions of the Quart Agreement were amended by the Compensation Committee in April 2015. The Quart Agreement initially provided Dr. Quart with an annual base salary of $525,000, which was raised each subsequent year incrementally to $758,080 annually for 2023. Dr. Quart was also initially eligible for an annual target cash incentive bonus in an amount equal to 55% of his base salary, which was increased to 60% of his base salary effective beginning with the 2016 annual cash incentive bonus and increased to 70% of his base salary effective beginning with the 2020 annual cash incentive bonus.</w:t>
      </w:r>
    </w:p>
    <w:p>
      <w:pPr>
        <w:spacing w:after="0" w:line="84" w:lineRule="exact"/>
        <w:rPr>
          <w:sz w:val="20"/>
          <w:szCs w:val="20"/>
          <w:color w:val="auto"/>
        </w:rPr>
      </w:pPr>
    </w:p>
    <w:p>
      <w:pPr>
        <w:ind w:left="300" w:right="319" w:firstLine="441"/>
        <w:spacing w:after="0" w:line="268" w:lineRule="auto"/>
        <w:rPr>
          <w:sz w:val="20"/>
          <w:szCs w:val="20"/>
          <w:color w:val="auto"/>
        </w:rPr>
      </w:pPr>
      <w:r>
        <w:rPr>
          <w:rFonts w:ascii="Times New Roman" w:cs="Times New Roman" w:eastAsia="Times New Roman" w:hAnsi="Times New Roman"/>
          <w:sz w:val="17"/>
          <w:szCs w:val="17"/>
          <w:color w:val="auto"/>
        </w:rPr>
        <w:t>The Quart Agreement, as amended, provides that if Dr. Quart’s employment is terminated by the Company without “Cause,” or by Dr. Quart for “Good Reason” (each as defined in the Quart Agreement), then he shall be entitled to receive: (i) a lump-sum payment equal to the sum of his annual base salary then in effect and his target performance bonus then in effect, less required deductions and withholdings; and (ii) accelerated time-based vesting of shares subject to all stock awards issued by the Company, for the number of shares that would have vested accordingly had he continued employment with the Company for a period of 12 months after termination (which includes partial accelerated vesting of awards subject to time-vesting, but does not include awards that remain subject to performance criteria as of the date of termination). The Company also agreed to reimburse for, or continue to pay, for health care benefits during the 18 months after the date of termination, or, if sooner, such date when he is no longer eligible for such benefits under applicable law. Per the Quart Agreement, in the event Dr. Quart’s employment is terminated by the Company without Cause, or if he resigns for Good Reason within three months before, or within 18 months following, a Change in Control (as defined in the Quart Agreement) of the Company, then, in lieu of the above benefits, Dr. Quart would be entitled to receive: (i) a lump sum payment equal to 150% of his annual base salary then in effect, less required deductions and withholdings; and (ii) the greater of his target performance bonus then in effect or his performance bonus paid in the year preceding the year in which termination occurs, in each case, less required deductions and withholdings; and (iii) reimbursement for or continued payment of</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3" w:name="page34"/>
    <w:bookmarkEnd w:id="33"/>
    <w:p>
      <w:pPr>
        <w:ind w:left="300" w:right="419"/>
        <w:spacing w:after="0" w:line="261" w:lineRule="auto"/>
        <w:rPr>
          <w:sz w:val="20"/>
          <w:szCs w:val="20"/>
          <w:color w:val="auto"/>
        </w:rPr>
      </w:pPr>
      <w:r>
        <w:rPr>
          <w:rFonts w:ascii="Times New Roman" w:cs="Times New Roman" w:eastAsia="Times New Roman" w:hAnsi="Times New Roman"/>
          <w:sz w:val="18"/>
          <w:szCs w:val="18"/>
          <w:color w:val="auto"/>
        </w:rPr>
        <w:t>health care benefits during the 18 months after the date of termination, or such earlier date when he is no longer eligible for such benefits under applicable law. Subject to, and in accordance with, the terms of his employment agreement, Dr. Quart will be entitled to receive the severance benefits payable under the Quart Agreement upon his termination by the Company without “Cause” as of April 3, 2023.</w:t>
      </w:r>
    </w:p>
    <w:p>
      <w:pPr>
        <w:spacing w:after="0" w:line="72" w:lineRule="exact"/>
        <w:rPr>
          <w:sz w:val="20"/>
          <w:szCs w:val="20"/>
          <w:color w:val="auto"/>
        </w:rPr>
      </w:pPr>
    </w:p>
    <w:p>
      <w:pPr>
        <w:ind w:left="300" w:right="599" w:firstLine="441"/>
        <w:spacing w:after="0" w:line="256" w:lineRule="auto"/>
        <w:rPr>
          <w:sz w:val="20"/>
          <w:szCs w:val="20"/>
          <w:color w:val="auto"/>
        </w:rPr>
      </w:pPr>
      <w:r>
        <w:rPr>
          <w:rFonts w:ascii="Times New Roman" w:cs="Times New Roman" w:eastAsia="Times New Roman" w:hAnsi="Times New Roman"/>
          <w:sz w:val="18"/>
          <w:szCs w:val="18"/>
          <w:color w:val="auto"/>
        </w:rPr>
        <w:t>In addition, on the closing of a Change in Control transaction, Dr. Quart is entitled to immediate vesting of 100% of any outstanding and unvested performance-based equity awards and immediate vesting of 50% of any outstanding and unvested time-based equity awards. Following the closing of any such Change in Control, the remaining 50% of time-based equity awards are eligible to vest on the earlier of: (a) Dr. Quart’s qualifying involuntary termination of employment; or (b) six months following the completion of the Change in Control subject to his voluntary continued employment through such date.</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Kimberly Manhard</w:t>
      </w:r>
    </w:p>
    <w:p>
      <w:pPr>
        <w:spacing w:after="0" w:line="119" w:lineRule="exact"/>
        <w:rPr>
          <w:sz w:val="20"/>
          <w:szCs w:val="20"/>
          <w:color w:val="auto"/>
        </w:rPr>
      </w:pPr>
    </w:p>
    <w:p>
      <w:pPr>
        <w:ind w:left="300" w:right="339"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her appointment as Executive Vice President, Drug Development, the Company entered into an executive employment agreement with Kimberly Manhard on January 28, 2016 (“</w:t>
      </w:r>
      <w:r>
        <w:rPr>
          <w:rFonts w:ascii="Times New Roman" w:cs="Times New Roman" w:eastAsia="Times New Roman" w:hAnsi="Times New Roman"/>
          <w:sz w:val="18"/>
          <w:szCs w:val="18"/>
          <w:b w:val="1"/>
          <w:bCs w:val="1"/>
          <w:i w:val="1"/>
          <w:iCs w:val="1"/>
          <w:color w:val="auto"/>
        </w:rPr>
        <w:t>Manhard Agreement</w:t>
      </w:r>
      <w:r>
        <w:rPr>
          <w:rFonts w:ascii="Times New Roman" w:cs="Times New Roman" w:eastAsia="Times New Roman" w:hAnsi="Times New Roman"/>
          <w:sz w:val="18"/>
          <w:szCs w:val="18"/>
          <w:color w:val="auto"/>
        </w:rPr>
        <w:t>”). The Manhard Agreement initially provided Ms. Manhard with an annual base salary of $440,000</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which was raised each subsequent year incrementally to $564,938 annually for 2023. Ms. Manhard is also eligible for an annual target incentive bonus in an amount equal to 50% of her base salary.</w:t>
      </w:r>
    </w:p>
    <w:p>
      <w:pPr>
        <w:spacing w:after="0" w:line="183" w:lineRule="exact"/>
        <w:rPr>
          <w:sz w:val="20"/>
          <w:szCs w:val="20"/>
          <w:color w:val="auto"/>
        </w:rPr>
      </w:pPr>
    </w:p>
    <w:p>
      <w:pPr>
        <w:ind w:left="300" w:right="299" w:firstLine="441"/>
        <w:spacing w:after="0" w:line="252" w:lineRule="auto"/>
        <w:rPr>
          <w:sz w:val="20"/>
          <w:szCs w:val="20"/>
          <w:color w:val="auto"/>
        </w:rPr>
      </w:pPr>
      <w:r>
        <w:rPr>
          <w:rFonts w:ascii="Times New Roman" w:cs="Times New Roman" w:eastAsia="Times New Roman" w:hAnsi="Times New Roman"/>
          <w:sz w:val="18"/>
          <w:szCs w:val="18"/>
          <w:color w:val="auto"/>
        </w:rPr>
        <w:t>Additionally, the Manhard Agreement provides that if Ms. Manhard’s employment is terminated by the Company without “Cause,” or by Ms. Manhard for “Good Reason” (each as defined in the Manhard Agreement), then she shall be entitled to receive: (i) a lump-sum payment equal to the sum of her annual base salary then in effect and her target performance bonus then in effect, less required deductions and withholdings; and (ii) accelerated time-based vesting of shares subject to all stock awards issued by the Company, for the number of shares which would have vested accordingly had she continued employment with the Company for a period of 12 months after termination. The Company also agreed to reimburse for, or continue to pay for, health care benefits during the 12 months after the date of termination, or such date when she is no longer eligible for such benefits under applicable law. In the event Ms. Manhard’s employment is terminated by the Company without Cause, or if she resigns for Good Reason within three months before, or within 18 months following, a Change in Control (as defined in the Manhard Agreement) of the Company, then, in lieu of the above benefits, Ms. Manhard shall be entitled to receive:</w:t>
      </w:r>
    </w:p>
    <w:p>
      <w:pPr>
        <w:spacing w:after="0" w:line="4" w:lineRule="exact"/>
        <w:rPr>
          <w:sz w:val="20"/>
          <w:szCs w:val="20"/>
          <w:color w:val="auto"/>
        </w:rPr>
      </w:pPr>
    </w:p>
    <w:p>
      <w:pPr>
        <w:ind w:left="300" w:right="319" w:hanging="8"/>
        <w:spacing w:after="0" w:line="252" w:lineRule="auto"/>
        <w:tabs>
          <w:tab w:leader="none" w:pos="5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her annual base salary then in effect, less required deductions and withholdings; (ii) the greater of her target performance bonus then in effect or her performance bonus paid in the year preceding the year in which termination occurs, in each case, less required deductions and withholdings; and (iii) accelerated vesting of 100% of any outstanding and unvested stock awards held by Ms. Manhard at such time (including both time-based and performance-based stock awards). The Company also agreed to reimburse for, or continue to pay for, health care benefits during the 12 months after the date of termination following a Change in Control, or such date when she is no longer eligible for such benefits under applicable law.</w:t>
      </w:r>
    </w:p>
    <w:p>
      <w:pPr>
        <w:spacing w:after="0" w:line="1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David Szekeres</w:t>
      </w:r>
    </w:p>
    <w:p>
      <w:pPr>
        <w:spacing w:after="0" w:line="119" w:lineRule="exact"/>
        <w:rPr>
          <w:sz w:val="20"/>
          <w:szCs w:val="20"/>
          <w:color w:val="auto"/>
        </w:rPr>
      </w:pPr>
    </w:p>
    <w:p>
      <w:pPr>
        <w:ind w:left="300" w:right="299" w:firstLine="441"/>
        <w:spacing w:after="0" w:line="256" w:lineRule="auto"/>
        <w:rPr>
          <w:sz w:val="20"/>
          <w:szCs w:val="20"/>
          <w:color w:val="auto"/>
        </w:rPr>
      </w:pPr>
      <w:r>
        <w:rPr>
          <w:rFonts w:ascii="Times New Roman" w:cs="Times New Roman" w:eastAsia="Times New Roman" w:hAnsi="Times New Roman"/>
          <w:sz w:val="18"/>
          <w:szCs w:val="18"/>
          <w:color w:val="auto"/>
        </w:rPr>
        <w:t>In connection with his appointment as Senior Vice President, General Counsel, Business Development and Corporate Secretary, the Company entered into an executive employment agreement with David Szekeres on March 17, 2016 (“</w:t>
      </w:r>
      <w:r>
        <w:rPr>
          <w:rFonts w:ascii="Times New Roman" w:cs="Times New Roman" w:eastAsia="Times New Roman" w:hAnsi="Times New Roman"/>
          <w:sz w:val="18"/>
          <w:szCs w:val="18"/>
          <w:b w:val="1"/>
          <w:bCs w:val="1"/>
          <w:i w:val="1"/>
          <w:iCs w:val="1"/>
          <w:color w:val="auto"/>
        </w:rPr>
        <w:t>Szekeres Agreement</w:t>
      </w:r>
      <w:r>
        <w:rPr>
          <w:rFonts w:ascii="Times New Roman" w:cs="Times New Roman" w:eastAsia="Times New Roman" w:hAnsi="Times New Roman"/>
          <w:sz w:val="18"/>
          <w:szCs w:val="18"/>
          <w:color w:val="auto"/>
        </w:rPr>
        <w:t>”). Mr. Szekeres was appointed as Executive Vice President, Chief Operating Officer in October 2020 at which time his annual base salary was $480,000. His annual base salary was raised each subsequent year incrementally to $551,669 annually for 2023. Mr. Szekeres is also eligible for an annual cash incentive bonus in an amount equal to 50% of his base salary.</w:t>
      </w:r>
    </w:p>
    <w:p>
      <w:pPr>
        <w:spacing w:after="0" w:line="187"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color w:val="auto"/>
        </w:rPr>
        <w:t>Additionally, the Szekeres Agreement provides that if Mr. Szekeres’ employment is terminated by the Company without “Cause,” or by Mr. Szekeres for “Good Reason” (each as defined in the Szekeres Agreement), then he shall be entitled to receive: (i) a lump-sum payment equal to the sum of his annual base salary then in effect and his target performance bonus then in effect, less required deductions and withholdings; and (ii) accelerated time-based vesting of shares subject to all stock awards issued by the Company, for the number of shares which would have vested accordingly had he continued employment with the Company for a period of 12 months after termination. The Company also agreed to reimburse for, or continue to pay for, health care benefits during the 12 months after the date of termination, or such date when he is no longer eligible for such benefits under applicable law. In the event Mr. Szekeres’ employment is terminated by the Company without Cause, or if he resigns for Good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34" w:name="page35"/>
    <w:bookmarkEnd w:id="34"/>
    <w:p>
      <w:pPr>
        <w:ind w:left="300" w:right="319"/>
        <w:spacing w:after="0" w:line="254" w:lineRule="auto"/>
        <w:rPr>
          <w:sz w:val="20"/>
          <w:szCs w:val="20"/>
          <w:color w:val="auto"/>
        </w:rPr>
      </w:pPr>
      <w:r>
        <w:rPr>
          <w:rFonts w:ascii="Times New Roman" w:cs="Times New Roman" w:eastAsia="Times New Roman" w:hAnsi="Times New Roman"/>
          <w:sz w:val="18"/>
          <w:szCs w:val="18"/>
          <w:color w:val="auto"/>
        </w:rPr>
        <w:t>Reason within three months before, or within 18 months following, a Change in Control (as defined in the Szekeres Agreement) of the Company, then, in lieu of the above benefits, Mr. Szekeres shall be entitled to receive: (i) a lump-sum payment equal to his annual base salary then in effect, less required deductions and withholdings; (ii) the greater of his target performance bonus then in effect or his performance bonus paid in the year preceding the year in which termination occurs, in each case, less required deductions and withholdings; and (iii) accelerated vesting of 100% of any outstanding and unvested stock awards held by Mr. Szekeres at such time (including both time-based and performance-based stock awards). The Company also agreed to reimburse for, or continue to pay for, health care benefits during the 12 months after the date of termination following a Change in Control, or such date when he is no longer eligible for such benefits under applicable law.</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Employee directors do not receive any compensation for their service as members of our Board.</w:t>
      </w:r>
    </w:p>
    <w:p>
      <w:pPr>
        <w:spacing w:after="0" w:line="225" w:lineRule="exact"/>
        <w:rPr>
          <w:sz w:val="20"/>
          <w:szCs w:val="20"/>
          <w:color w:val="auto"/>
        </w:rPr>
      </w:pPr>
    </w:p>
    <w:p>
      <w:pPr>
        <w:ind w:left="300" w:right="319" w:firstLine="441"/>
        <w:spacing w:after="0" w:line="262" w:lineRule="auto"/>
        <w:rPr>
          <w:sz w:val="20"/>
          <w:szCs w:val="20"/>
          <w:color w:val="auto"/>
        </w:rPr>
      </w:pPr>
      <w:r>
        <w:rPr>
          <w:rFonts w:ascii="Times New Roman" w:cs="Times New Roman" w:eastAsia="Times New Roman" w:hAnsi="Times New Roman"/>
          <w:sz w:val="17"/>
          <w:szCs w:val="17"/>
          <w:color w:val="auto"/>
        </w:rPr>
        <w:t>In 2022, the Board engaged Compensia to conduct an assessment of our Board compensation program as compared to the same peer group used for purposes of reviewing our executive compensation program. The annual cash retainer paid to non-employee members of our Board for general service approximates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percentile of our peer companies and the annual equity-based compensation of our Board for general board service is above the 75</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percentile of our peer companies. The use of stock option and restricted stock unit grants further enhances our non-employee Board members’ long-term equity stake in the Company. In particular, because the realization of financial gain from stock option grants is conditioned on the continued increase of the price of the Company’s common stock, the Company believes that stock option grants encourage our directors to engage in behaviors and implement initiatives that lead to long-term value creation that benefits all of the Company’s stockholders. Our average total direct compensation per director, including remunerations for committee service, is above the 75</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percentile.</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Board approved the following compensation for non-employee directors for 2022:</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Cash Compensation</w:t>
      </w:r>
    </w:p>
    <w:p>
      <w:pPr>
        <w:spacing w:after="0" w:line="26" w:lineRule="exact"/>
        <w:rPr>
          <w:sz w:val="20"/>
          <w:szCs w:val="20"/>
          <w:color w:val="auto"/>
        </w:rPr>
      </w:pPr>
    </w:p>
    <w:tbl>
      <w:tblPr>
        <w:tblLayout w:type="fixed"/>
        <w:tblInd w:w="1980" w:type="dxa"/>
        <w:tblCellMar>
          <w:top w:w="0" w:type="dxa"/>
          <w:left w:w="0" w:type="dxa"/>
          <w:bottom w:w="0" w:type="dxa"/>
          <w:right w:w="0" w:type="dxa"/>
        </w:tblCellMar>
      </w:tblPr>
      <w:tr>
        <w:trPr>
          <w:trHeight w:val="169"/>
        </w:trPr>
        <w:tc>
          <w:tcPr>
            <w:tcW w:w="4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Annual Board Cash Retainer*</w:t>
            </w:r>
          </w:p>
        </w:tc>
        <w:tc>
          <w:tcPr>
            <w:tcW w:w="340" w:type="dxa"/>
            <w:vAlign w:val="bottom"/>
            <w:tcBorders>
              <w:top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Lead Independent Director Cash Retainer*</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Annual Audit Committee Chair Cash Retainer*</w:t>
            </w:r>
          </w:p>
        </w:tc>
        <w:tc>
          <w:tcPr>
            <w:tcW w:w="3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Audit Committee Member Cash Retainer*</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Annual Compensation Committee Chair Cash Retainer*</w:t>
            </w:r>
          </w:p>
        </w:tc>
        <w:tc>
          <w:tcPr>
            <w:tcW w:w="3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Compensation Committee Member Cash Retainer*</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1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Annual Nominating &amp; Corporate Governance Committee Chair Cash</w:t>
            </w:r>
          </w:p>
        </w:tc>
        <w:tc>
          <w:tcPr>
            <w:tcW w:w="3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Retainer*</w:t>
            </w:r>
          </w:p>
        </w:tc>
        <w:tc>
          <w:tcPr>
            <w:tcW w:w="34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Annual Nominating &amp; Corporate Governance Committee Member</w:t>
            </w:r>
          </w:p>
        </w:tc>
        <w:tc>
          <w:tcPr>
            <w:tcW w:w="3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Retainer*</w:t>
            </w:r>
          </w:p>
        </w:tc>
        <w:tc>
          <w:tcPr>
            <w:tcW w:w="3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 paid in quarterly installments</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Equity-Based Compensation (shares underlying awards)</w:t>
      </w:r>
    </w:p>
    <w:p>
      <w:pPr>
        <w:spacing w:after="0" w:line="200" w:lineRule="exact"/>
        <w:rPr>
          <w:sz w:val="20"/>
          <w:szCs w:val="20"/>
          <w:color w:val="auto"/>
        </w:rPr>
      </w:pP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18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Board Grants</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40" w:type="dxa"/>
            <w:vAlign w:val="bottom"/>
          </w:tcPr>
          <w:p>
            <w:pPr>
              <w:spacing w:after="0"/>
              <w:rPr>
                <w:sz w:val="16"/>
                <w:szCs w:val="16"/>
                <w:color w:val="auto"/>
              </w:rPr>
            </w:pPr>
          </w:p>
        </w:tc>
      </w:tr>
      <w:tr>
        <w:trPr>
          <w:trHeight w:val="169"/>
        </w:trPr>
        <w:tc>
          <w:tcPr>
            <w:tcW w:w="406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Initial Option Award</w:t>
            </w:r>
            <w:r>
              <w:rPr>
                <w:rFonts w:ascii="Times New Roman" w:cs="Times New Roman" w:eastAsia="Times New Roman" w:hAnsi="Times New Roman"/>
                <w:sz w:val="19"/>
                <w:szCs w:val="19"/>
                <w:color w:val="auto"/>
                <w:vertAlign w:val="superscript"/>
              </w:rPr>
              <w:t>(1)</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227,272</w:t>
            </w:r>
          </w:p>
        </w:tc>
        <w:tc>
          <w:tcPr>
            <w:tcW w:w="40" w:type="dxa"/>
            <w:vAlign w:val="bottom"/>
            <w:shd w:val="clear" w:color="auto" w:fill="CFF0FC"/>
          </w:tcPr>
          <w:p>
            <w:pPr>
              <w:spacing w:after="0"/>
              <w:rPr>
                <w:sz w:val="14"/>
                <w:szCs w:val="14"/>
                <w:color w:val="auto"/>
              </w:rPr>
            </w:pPr>
          </w:p>
        </w:tc>
      </w:tr>
      <w:tr>
        <w:trPr>
          <w:trHeight w:val="175"/>
        </w:trPr>
        <w:tc>
          <w:tcPr>
            <w:tcW w:w="406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Initial Stock Award</w:t>
            </w:r>
            <w:r>
              <w:rPr>
                <w:rFonts w:ascii="Times New Roman" w:cs="Times New Roman" w:eastAsia="Times New Roman" w:hAnsi="Times New Roman"/>
                <w:sz w:val="19"/>
                <w:szCs w:val="19"/>
                <w:color w:val="auto"/>
                <w:vertAlign w:val="superscript"/>
              </w:rPr>
              <w:t>(2)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37,879</w:t>
            </w:r>
          </w:p>
        </w:tc>
        <w:tc>
          <w:tcPr>
            <w:tcW w:w="40" w:type="dxa"/>
            <w:vAlign w:val="bottom"/>
          </w:tcPr>
          <w:p>
            <w:pPr>
              <w:spacing w:after="0"/>
              <w:rPr>
                <w:sz w:val="15"/>
                <w:szCs w:val="15"/>
                <w:color w:val="auto"/>
              </w:rPr>
            </w:pPr>
          </w:p>
        </w:tc>
      </w:tr>
      <w:tr>
        <w:trPr>
          <w:trHeight w:val="175"/>
        </w:trPr>
        <w:tc>
          <w:tcPr>
            <w:tcW w:w="406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Annual Option Award</w:t>
            </w:r>
            <w:r>
              <w:rPr>
                <w:rFonts w:ascii="Times New Roman" w:cs="Times New Roman" w:eastAsia="Times New Roman" w:hAnsi="Times New Roman"/>
                <w:sz w:val="19"/>
                <w:szCs w:val="19"/>
                <w:color w:val="auto"/>
                <w:vertAlign w:val="superscript"/>
              </w:rPr>
              <w:t>(3)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77,160</w:t>
            </w:r>
          </w:p>
        </w:tc>
        <w:tc>
          <w:tcPr>
            <w:tcW w:w="40" w:type="dxa"/>
            <w:vAlign w:val="bottom"/>
            <w:shd w:val="clear" w:color="auto" w:fill="CFF0FC"/>
          </w:tcPr>
          <w:p>
            <w:pPr>
              <w:spacing w:after="0"/>
              <w:rPr>
                <w:sz w:val="15"/>
                <w:szCs w:val="15"/>
                <w:color w:val="auto"/>
              </w:rPr>
            </w:pPr>
          </w:p>
        </w:tc>
      </w:tr>
      <w:tr>
        <w:trPr>
          <w:trHeight w:val="253"/>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Stock Award</w:t>
            </w:r>
            <w:r>
              <w:rPr>
                <w:rFonts w:ascii="Times New Roman" w:cs="Times New Roman" w:eastAsia="Times New Roman" w:hAnsi="Times New Roman"/>
                <w:sz w:val="19"/>
                <w:szCs w:val="19"/>
                <w:color w:val="auto"/>
                <w:vertAlign w:val="superscript"/>
              </w:rPr>
              <w:t>(4)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38,580</w:t>
            </w:r>
          </w:p>
        </w:tc>
        <w:tc>
          <w:tcPr>
            <w:tcW w:w="40" w:type="dxa"/>
            <w:vAlign w:val="bottom"/>
          </w:tcPr>
          <w:p>
            <w:pPr>
              <w:spacing w:after="0"/>
              <w:rPr>
                <w:sz w:val="21"/>
                <w:szCs w:val="21"/>
                <w:color w:val="auto"/>
              </w:rPr>
            </w:pPr>
          </w:p>
        </w:tc>
      </w:tr>
    </w:tbl>
    <w:p>
      <w:pPr>
        <w:spacing w:after="0" w:line="143" w:lineRule="exact"/>
        <w:rPr>
          <w:sz w:val="20"/>
          <w:szCs w:val="20"/>
          <w:color w:val="auto"/>
        </w:rPr>
      </w:pPr>
    </w:p>
    <w:p>
      <w:pPr>
        <w:ind w:left="720" w:hanging="428"/>
        <w:spacing w:after="0"/>
        <w:tabs>
          <w:tab w:leader="none" w:pos="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vest and become exercisable monthly over a four-year period from the date of grant.</w:t>
      </w:r>
    </w:p>
    <w:p>
      <w:pPr>
        <w:spacing w:after="0" w:line="3" w:lineRule="exact"/>
        <w:rPr>
          <w:rFonts w:ascii="Times New Roman" w:cs="Times New Roman" w:eastAsia="Times New Roman" w:hAnsi="Times New Roman"/>
          <w:sz w:val="14"/>
          <w:szCs w:val="14"/>
          <w:color w:val="auto"/>
        </w:rPr>
      </w:pPr>
    </w:p>
    <w:p>
      <w:pPr>
        <w:ind w:left="720" w:hanging="428"/>
        <w:spacing w:after="0" w:line="221" w:lineRule="auto"/>
        <w:tabs>
          <w:tab w:leader="none" w:pos="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quarterly over a four-year period from the date of grant.</w:t>
      </w:r>
    </w:p>
    <w:p>
      <w:pPr>
        <w:ind w:left="720" w:hanging="428"/>
        <w:spacing w:after="0" w:line="221" w:lineRule="auto"/>
        <w:tabs>
          <w:tab w:leader="none" w:pos="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vest and become exercisable monthly over a 12-month period from the date of grant.</w:t>
      </w:r>
    </w:p>
    <w:p>
      <w:pPr>
        <w:ind w:left="720" w:hanging="428"/>
        <w:spacing w:after="0"/>
        <w:tabs>
          <w:tab w:leader="none" w:pos="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annually over a 12-month period from the date of grant.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8"/>
          <w:szCs w:val="18"/>
          <w:color w:val="auto"/>
        </w:rPr>
        <w:t>The following table includes compensation for services provided by our non-employee directors for the year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6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Stock Awards</w:t>
            </w:r>
            <w:r>
              <w:rPr>
                <w:rFonts w:ascii="Times New Roman" w:cs="Times New Roman" w:eastAsia="Times New Roman" w:hAnsi="Times New Roman"/>
                <w:sz w:val="19"/>
                <w:szCs w:val="19"/>
                <w:b w:val="1"/>
                <w:bCs w:val="1"/>
                <w:color w:val="auto"/>
                <w:w w:val="97"/>
                <w:vertAlign w:val="superscript"/>
              </w:rPr>
              <w:t>(1)(2)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3"/>
              </w:rPr>
              <w:t>Option Awards</w:t>
            </w:r>
            <w:r>
              <w:rPr>
                <w:rFonts w:ascii="Times New Roman" w:cs="Times New Roman" w:eastAsia="Times New Roman" w:hAnsi="Times New Roman"/>
                <w:sz w:val="19"/>
                <w:szCs w:val="19"/>
                <w:b w:val="1"/>
                <w:bCs w:val="1"/>
                <w:color w:val="auto"/>
                <w:w w:val="93"/>
                <w:vertAlign w:val="superscript"/>
              </w:rPr>
              <w:t>(1)(2)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Cash</w:t>
            </w:r>
          </w:p>
        </w:tc>
        <w:tc>
          <w:tcPr>
            <w:tcW w:w="16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Christian Waage</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77,500</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105,709</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126,018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309,227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Craig Johnson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107,500</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Sharmila Dissanaike</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53,585</w:t>
            </w:r>
          </w:p>
        </w:tc>
        <w:tc>
          <w:tcPr>
            <w:tcW w:w="5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105,709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126,018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285,312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Stephen Davis</w:t>
            </w:r>
            <w:r>
              <w:rPr>
                <w:rFonts w:ascii="Times New Roman" w:cs="Times New Roman" w:eastAsia="Times New Roman" w:hAnsi="Times New Roman"/>
                <w:sz w:val="19"/>
                <w:szCs w:val="19"/>
                <w:color w:val="auto"/>
                <w:vertAlign w:val="superscript"/>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Susan Rodriguez</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57,170</w:t>
            </w:r>
          </w:p>
        </w:tc>
        <w:tc>
          <w:tcPr>
            <w:tcW w:w="5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105,709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126,018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288,897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80" w:right="319" w:hanging="388"/>
        <w:spacing w:after="0" w:line="226" w:lineRule="auto"/>
        <w:tabs>
          <w:tab w:leader="none" w:pos="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shares subject to outstanding stock options held by each director listed in the table above as of December 31, 2022 was as follows: 211,338 shares for Mr. Waage, 322,563 shares for Mr. Johnson, 135,563 shares for Dr. Dissanaike, 159,504 shares for Mr. Davis and 135,563 shares for Ms. Rodriguez. In addition, Mr. Waage, Mr. Johnson and Mr. Davis each held 38,580 shares subject to outstanding restricted stock units as of December 31, 2022 and Dr. Dissanaike and Ms. Rodriguez each held 42,877 shares subject to outstanding restricted stock units as of December 31, 2022.</w:t>
      </w:r>
    </w:p>
    <w:p>
      <w:pPr>
        <w:jc w:val="both"/>
        <w:ind w:left="680" w:right="419" w:hanging="388"/>
        <w:spacing w:after="0" w:line="221" w:lineRule="auto"/>
        <w:tabs>
          <w:tab w:leader="none" w:pos="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columns reflect the aggregate grant date fair value of equity awards granted in 2022 and calculated in accordance with FASB ASC 718. The assumptions used in our Annual Report on Form 10-K for the year ended December 31, 2022. The “Stock Awards” and “Option Awards” columns include the grant date fair value of the awards granted on December 21, 2022 for 2023 board service.</w:t>
      </w:r>
    </w:p>
    <w:p>
      <w:pPr>
        <w:ind w:left="680" w:hanging="388"/>
        <w:spacing w:after="0"/>
        <w:tabs>
          <w:tab w:leader="none" w:pos="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Davis resigned as a member of the Board effective February 21, 2023.</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439" w:firstLine="441"/>
        <w:spacing w:after="0" w:line="277"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compensation philosophy and how the Company seeks to align executive compensation with the Company’s performance, refer to “Executive Compensation—Narrative to Summary Compensation Table.”</w:t>
      </w:r>
    </w:p>
    <w:p>
      <w:pPr>
        <w:sectPr>
          <w:pgSz w:w="11900" w:h="16838" w:orient="portrait"/>
          <w:cols w:equalWidth="0" w:num="1">
            <w:col w:w="9019"/>
          </w:cols>
          <w:pgMar w:left="1440" w:top="337"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4"/>
          <w:szCs w:val="14"/>
          <w:b w:val="1"/>
          <w:bCs w:val="1"/>
          <w:color w:val="auto"/>
        </w:rPr>
        <w:t>Summary</w:t>
      </w:r>
    </w:p>
    <w:p>
      <w:pPr>
        <w:jc w:val="center"/>
        <w:ind w:left="1280"/>
        <w:spacing w:after="0" w:line="229" w:lineRule="auto"/>
        <w:rPr>
          <w:sz w:val="20"/>
          <w:szCs w:val="20"/>
          <w:color w:val="auto"/>
        </w:rPr>
      </w:pPr>
      <w:r>
        <w:rPr>
          <w:rFonts w:ascii="Times New Roman" w:cs="Times New Roman" w:eastAsia="Times New Roman" w:hAnsi="Times New Roman"/>
          <w:sz w:val="14"/>
          <w:szCs w:val="14"/>
          <w:b w:val="1"/>
          <w:bCs w:val="1"/>
          <w:color w:val="auto"/>
        </w:rPr>
        <w:t>Compensation</w:t>
      </w:r>
    </w:p>
    <w:p>
      <w:pPr>
        <w:jc w:val="center"/>
        <w:ind w:left="1280"/>
        <w:spacing w:after="0" w:line="184" w:lineRule="auto"/>
        <w:rPr>
          <w:sz w:val="20"/>
          <w:szCs w:val="20"/>
          <w:color w:val="auto"/>
        </w:rPr>
      </w:pPr>
      <w:r>
        <w:rPr>
          <w:rFonts w:ascii="Times New Roman" w:cs="Times New Roman" w:eastAsia="Times New Roman" w:hAnsi="Times New Roman"/>
          <w:sz w:val="14"/>
          <w:szCs w:val="14"/>
          <w:b w:val="1"/>
          <w:bCs w:val="1"/>
          <w:color w:val="auto"/>
        </w:rPr>
        <w:t>Table Total for</w:t>
      </w:r>
    </w:p>
    <w:p>
      <w:pPr>
        <w:ind w:left="580"/>
        <w:spacing w:after="0" w:line="213" w:lineRule="auto"/>
        <w:tabs>
          <w:tab w:leader="none" w:pos="1440" w:val="left"/>
        </w:tabs>
        <w:rPr>
          <w:sz w:val="20"/>
          <w:szCs w:val="20"/>
          <w:color w:val="auto"/>
        </w:rPr>
      </w:pPr>
      <w:r>
        <w:rPr>
          <w:rFonts w:ascii="Times New Roman" w:cs="Times New Roman" w:eastAsia="Times New Roman" w:hAnsi="Times New Roman"/>
          <w:sz w:val="14"/>
          <w:szCs w:val="14"/>
          <w:b w:val="1"/>
          <w:bCs w:val="1"/>
          <w:color w:val="auto"/>
        </w:rPr>
        <w:t>Year</w:t>
      </w:r>
      <w:r>
        <w:rPr>
          <w:sz w:val="20"/>
          <w:szCs w:val="20"/>
          <w:color w:val="auto"/>
        </w:rPr>
        <w:tab/>
      </w:r>
      <w:r>
        <w:rPr>
          <w:rFonts w:ascii="Times New Roman" w:cs="Times New Roman" w:eastAsia="Times New Roman" w:hAnsi="Times New Roman"/>
          <w:sz w:val="14"/>
          <w:szCs w:val="14"/>
          <w:b w:val="1"/>
          <w:bCs w:val="1"/>
          <w:color w:val="auto"/>
        </w:rPr>
        <w:t>PEO ($)</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 Initial</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Fixed $100</w:t>
            </w:r>
          </w:p>
        </w:tc>
        <w:tc>
          <w:tcPr>
            <w:tcW w:w="0" w:type="dxa"/>
            <w:vAlign w:val="bottom"/>
          </w:tcPr>
          <w:p>
            <w:pPr>
              <w:spacing w:after="0"/>
              <w:rPr>
                <w:sz w:val="1"/>
                <w:szCs w:val="1"/>
                <w:color w:val="auto"/>
              </w:rPr>
            </w:pPr>
          </w:p>
        </w:tc>
      </w:tr>
      <w:tr>
        <w:trPr>
          <w:trHeight w:val="148"/>
        </w:trPr>
        <w:tc>
          <w:tcPr>
            <w:tcW w:w="110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8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w:t>
            </w: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On: Total</w:t>
            </w:r>
          </w:p>
        </w:tc>
        <w:tc>
          <w:tcPr>
            <w:tcW w:w="0" w:type="dxa"/>
            <w:vAlign w:val="bottom"/>
          </w:tcPr>
          <w:p>
            <w:pPr>
              <w:spacing w:after="0"/>
              <w:rPr>
                <w:sz w:val="1"/>
                <w:szCs w:val="1"/>
                <w:color w:val="auto"/>
              </w:rPr>
            </w:pPr>
          </w:p>
        </w:tc>
      </w:tr>
      <w:tr>
        <w:trPr>
          <w:trHeight w:val="149"/>
        </w:trPr>
        <w:tc>
          <w:tcPr>
            <w:tcW w:w="1100" w:type="dxa"/>
            <w:vAlign w:val="bottom"/>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 ($)</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0" w:type="dxa"/>
            <w:vAlign w:val="bottom"/>
          </w:tcPr>
          <w:p>
            <w:pPr>
              <w:spacing w:after="0"/>
              <w:rPr>
                <w:sz w:val="1"/>
                <w:szCs w:val="1"/>
                <w:color w:val="auto"/>
              </w:rPr>
            </w:pPr>
          </w:p>
        </w:tc>
      </w:tr>
      <w:tr>
        <w:trPr>
          <w:trHeight w:val="148"/>
        </w:trPr>
        <w:tc>
          <w:tcPr>
            <w:tcW w:w="1100" w:type="dxa"/>
            <w:vAlign w:val="bottom"/>
          </w:tcPr>
          <w:p>
            <w:pPr>
              <w:jc w:val="center"/>
              <w:ind w:right="10"/>
              <w:spacing w:after="0" w:line="149" w:lineRule="exact"/>
              <w:rPr>
                <w:sz w:val="20"/>
                <w:szCs w:val="20"/>
                <w:color w:val="auto"/>
              </w:rPr>
            </w:pPr>
            <w:r>
              <w:rPr>
                <w:rFonts w:ascii="Times New Roman" w:cs="Times New Roman" w:eastAsia="Times New Roman" w:hAnsi="Times New Roman"/>
                <w:sz w:val="13"/>
                <w:szCs w:val="13"/>
                <w:b w:val="1"/>
                <w:bCs w:val="1"/>
                <w:color w:val="auto"/>
              </w:rPr>
              <w:t>PEO ($)</w:t>
            </w:r>
            <w:r>
              <w:rPr>
                <w:rFonts w:ascii="Times New Roman" w:cs="Times New Roman" w:eastAsia="Times New Roman" w:hAnsi="Times New Roman"/>
                <w:sz w:val="17"/>
                <w:szCs w:val="17"/>
                <w:b w:val="1"/>
                <w:bCs w:val="1"/>
                <w:color w:val="auto"/>
                <w:vertAlign w:val="superscript"/>
              </w:rPr>
              <w:t>(2)</w:t>
            </w:r>
          </w:p>
        </w:tc>
        <w:tc>
          <w:tcPr>
            <w:tcW w:w="1480" w:type="dxa"/>
            <w:vAlign w:val="bottom"/>
          </w:tcPr>
          <w:p>
            <w:pPr>
              <w:jc w:val="center"/>
              <w:ind w:left="10"/>
              <w:spacing w:after="0" w:line="149" w:lineRule="exact"/>
              <w:rPr>
                <w:sz w:val="20"/>
                <w:szCs w:val="20"/>
                <w:color w:val="auto"/>
              </w:rPr>
            </w:pPr>
            <w:r>
              <w:rPr>
                <w:rFonts w:ascii="Times New Roman" w:cs="Times New Roman" w:eastAsia="Times New Roman" w:hAnsi="Times New Roman"/>
                <w:sz w:val="13"/>
                <w:szCs w:val="13"/>
                <w:b w:val="1"/>
                <w:bCs w:val="1"/>
                <w:color w:val="auto"/>
              </w:rPr>
              <w:t>NEOs ($)</w:t>
            </w:r>
            <w:r>
              <w:rPr>
                <w:rFonts w:ascii="Times New Roman" w:cs="Times New Roman" w:eastAsia="Times New Roman" w:hAnsi="Times New Roman"/>
                <w:sz w:val="17"/>
                <w:szCs w:val="17"/>
                <w:b w:val="1"/>
                <w:bCs w:val="1"/>
                <w:color w:val="auto"/>
                <w:vertAlign w:val="superscript"/>
              </w:rPr>
              <w:t>(3)</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(4)</w:t>
            </w:r>
          </w:p>
        </w:tc>
        <w:tc>
          <w:tcPr>
            <w:tcW w:w="114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3"/>
                <w:szCs w:val="13"/>
                <w:b w:val="1"/>
                <w:bCs w:val="1"/>
                <w:color w:val="auto"/>
              </w:rPr>
              <w:t>Return</w:t>
            </w:r>
            <w:r>
              <w:rPr>
                <w:rFonts w:ascii="Times New Roman" w:cs="Times New Roman" w:eastAsia="Times New Roman" w:hAnsi="Times New Roman"/>
                <w:sz w:val="17"/>
                <w:szCs w:val="17"/>
                <w:b w:val="1"/>
                <w:bCs w:val="1"/>
                <w:color w:val="auto"/>
                <w:vertAlign w:val="superscript"/>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Net Loss</w:t>
      </w:r>
    </w:p>
    <w:p>
      <w:pPr>
        <w:spacing w:after="0" w:line="213" w:lineRule="auto"/>
        <w:rPr>
          <w:sz w:val="20"/>
          <w:szCs w:val="20"/>
          <w:color w:val="auto"/>
        </w:rPr>
      </w:pPr>
      <w:r>
        <w:rPr>
          <w:rFonts w:ascii="Times New Roman" w:cs="Times New Roman" w:eastAsia="Times New Roman" w:hAnsi="Times New Roman"/>
          <w:sz w:val="13"/>
          <w:szCs w:val="13"/>
          <w:b w:val="1"/>
          <w:bCs w:val="1"/>
          <w:color w:val="auto"/>
        </w:rPr>
        <w:t>(millions)</w:t>
      </w:r>
      <w:r>
        <w:rPr>
          <w:rFonts w:ascii="Times New Roman" w:cs="Times New Roman" w:eastAsia="Times New Roman" w:hAnsi="Times New Roman"/>
          <w:sz w:val="17"/>
          <w:szCs w:val="17"/>
          <w:b w:val="1"/>
          <w:bCs w:val="1"/>
          <w:color w:val="auto"/>
          <w:vertAlign w:val="superscript"/>
        </w:rPr>
        <w:t>(6)</w:t>
      </w:r>
    </w:p>
    <w:p>
      <w:pPr>
        <w:spacing w:after="0" w:line="1" w:lineRule="exact"/>
        <w:rPr>
          <w:sz w:val="20"/>
          <w:szCs w:val="20"/>
          <w:color w:val="auto"/>
        </w:rPr>
      </w:pPr>
    </w:p>
    <w:p>
      <w:pPr>
        <w:sectPr>
          <w:pgSz w:w="11900" w:h="16838" w:orient="portrait"/>
          <w:cols w:equalWidth="0" w:num="3">
            <w:col w:w="2200" w:space="360"/>
            <w:col w:w="5060" w:space="220"/>
            <w:col w:w="1179"/>
          </w:cols>
          <w:pgMar w:left="1440" w:top="337" w:right="1440" w:bottom="1440" w:gutter="0" w:footer="0" w:header="0"/>
          <w:type w:val="continuous"/>
        </w:sectPr>
      </w:pPr>
    </w:p>
    <w:tbl>
      <w:tblPr>
        <w:tblLayout w:type="fixed"/>
        <w:tblInd w:w="300" w:type="dxa"/>
        <w:tblCellMar>
          <w:top w:w="0" w:type="dxa"/>
          <w:left w:w="0" w:type="dxa"/>
          <w:bottom w:w="0" w:type="dxa"/>
          <w:right w:w="0" w:type="dxa"/>
        </w:tblCellMar>
      </w:tblPr>
      <w:tr>
        <w:trPr>
          <w:trHeight w:val="169"/>
        </w:trPr>
        <w:tc>
          <w:tcPr>
            <w:tcW w:w="720" w:type="dxa"/>
            <w:vAlign w:val="bottom"/>
            <w:tcBorders>
              <w:top w:val="single" w:sz="8" w:color="auto"/>
            </w:tcBorders>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(a)</w:t>
            </w:r>
          </w:p>
        </w:tc>
        <w:tc>
          <w:tcPr>
            <w:tcW w:w="44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(b)</w:t>
            </w:r>
          </w:p>
        </w:tc>
        <w:tc>
          <w:tcPr>
            <w:tcW w:w="10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(c)</w:t>
            </w:r>
          </w:p>
        </w:tc>
        <w:tc>
          <w:tcPr>
            <w:tcW w:w="8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ind w:right="528"/>
              <w:spacing w:after="0"/>
              <w:rPr>
                <w:sz w:val="20"/>
                <w:szCs w:val="20"/>
                <w:color w:val="auto"/>
              </w:rPr>
            </w:pPr>
            <w:r>
              <w:rPr>
                <w:rFonts w:ascii="Times New Roman" w:cs="Times New Roman" w:eastAsia="Times New Roman" w:hAnsi="Times New Roman"/>
                <w:sz w:val="14"/>
                <w:szCs w:val="14"/>
                <w:color w:val="auto"/>
              </w:rPr>
              <w:t>(d)</w:t>
            </w:r>
          </w:p>
        </w:tc>
        <w:tc>
          <w:tcPr>
            <w:tcW w:w="8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(e)</w:t>
            </w:r>
          </w:p>
        </w:tc>
        <w:tc>
          <w:tcPr>
            <w:tcW w:w="8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(f)</w:t>
            </w:r>
          </w:p>
        </w:tc>
        <w:tc>
          <w:tcPr>
            <w:tcW w:w="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(g)</w:t>
            </w:r>
          </w:p>
        </w:tc>
        <w:tc>
          <w:tcPr>
            <w:tcW w:w="80" w:type="dxa"/>
            <w:vAlign w:val="bottom"/>
            <w:shd w:val="clear" w:color="auto" w:fill="CFF0FC"/>
          </w:tcPr>
          <w:p>
            <w:pPr>
              <w:spacing w:after="0"/>
              <w:rPr>
                <w:sz w:val="14"/>
                <w:szCs w:val="14"/>
                <w:color w:val="auto"/>
              </w:rPr>
            </w:pPr>
          </w:p>
        </w:tc>
      </w:tr>
      <w:tr>
        <w:trPr>
          <w:trHeight w:val="175"/>
        </w:trPr>
        <w:tc>
          <w:tcPr>
            <w:tcW w:w="7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2022</w:t>
            </w:r>
          </w:p>
        </w:tc>
        <w:tc>
          <w:tcPr>
            <w:tcW w:w="4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1,145,704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(2,798,657 ) $</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1,438,169</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357,507</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80" w:type="dxa"/>
            <w:vAlign w:val="bottom"/>
          </w:tcPr>
          <w:p>
            <w:pPr>
              <w:spacing w:after="0"/>
              <w:rPr>
                <w:sz w:val="15"/>
                <w:szCs w:val="15"/>
                <w:color w:val="auto"/>
              </w:rPr>
            </w:pPr>
          </w:p>
        </w:tc>
      </w:tr>
      <w:tr>
        <w:trPr>
          <w:trHeight w:val="175"/>
        </w:trPr>
        <w:tc>
          <w:tcPr>
            <w:tcW w:w="720" w:type="dxa"/>
            <w:vAlign w:val="bottom"/>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2021</w:t>
            </w:r>
          </w:p>
        </w:tc>
        <w:tc>
          <w:tcPr>
            <w:tcW w:w="4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5,430,828</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(1,032,982 )</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1,581,471</w:t>
            </w: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(619,359 )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43.14</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80" w:type="dxa"/>
            <w:vAlign w:val="bottom"/>
            <w:shd w:val="clear" w:color="auto" w:fill="CFF0FC"/>
          </w:tcPr>
          <w:p>
            <w:pPr>
              <w:spacing w:after="0"/>
              <w:rPr>
                <w:sz w:val="15"/>
                <w:szCs w:val="15"/>
                <w:color w:val="auto"/>
              </w:rPr>
            </w:pPr>
          </w:p>
        </w:tc>
      </w:tr>
    </w:tbl>
    <w:p>
      <w:pPr>
        <w:spacing w:after="0" w:line="220" w:lineRule="exact"/>
        <w:rPr>
          <w:sz w:val="20"/>
          <w:szCs w:val="20"/>
          <w:color w:val="auto"/>
        </w:rPr>
      </w:pPr>
    </w:p>
    <w:p>
      <w:pPr>
        <w:jc w:val="both"/>
        <w:ind w:left="680" w:right="539" w:hanging="388"/>
        <w:spacing w:after="0" w:line="229" w:lineRule="auto"/>
        <w:tabs>
          <w:tab w:leader="none" w:pos="6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(b) are the amounts of total compensation reported for Barry Quart (our former Chief Executive Officer) for each corresponding year in the “Total” column of the Summary Compensation Table. Refer to “Executive Compensation— Summary Compensation Table.”</w:t>
      </w:r>
    </w:p>
    <w:p>
      <w:pPr>
        <w:ind w:left="680" w:right="359" w:hanging="388"/>
        <w:spacing w:after="0" w:line="230" w:lineRule="auto"/>
        <w:tabs>
          <w:tab w:leader="none" w:pos="6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(c) represent the amount of “compensation actually paid” to Barry Quart, as computed in accordance with Item 402(v) of Regulation S-K. The dollar amounts do not reflect the actual amount of compensation earned by or paid to Barry Quart during the applicable year. In accordance with the requirements of Item 402(v) of Regulation S-K, the following adjustments were made to Barry Quart’s total compensation for each year to determine the compensation actually paid:</w:t>
      </w:r>
    </w:p>
    <w:p>
      <w:pPr>
        <w:spacing w:after="0" w:line="12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Reported Summary</w:t>
            </w:r>
          </w:p>
        </w:tc>
        <w:tc>
          <w:tcPr>
            <w:tcW w:w="80" w:type="dxa"/>
            <w:vAlign w:val="bottom"/>
          </w:tcPr>
          <w:p>
            <w:pPr>
              <w:spacing w:after="0"/>
              <w:rPr>
                <w:sz w:val="13"/>
                <w:szCs w:val="13"/>
                <w:color w:val="auto"/>
              </w:rPr>
            </w:pPr>
          </w:p>
        </w:tc>
        <w:tc>
          <w:tcPr>
            <w:tcW w:w="19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 Value of Equity</w:t>
            </w:r>
          </w:p>
        </w:tc>
        <w:tc>
          <w:tcPr>
            <w:tcW w:w="142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60" w:type="dxa"/>
            <w:vAlign w:val="bottom"/>
          </w:tcPr>
          <w:p>
            <w:pPr>
              <w:spacing w:after="0"/>
              <w:rPr>
                <w:sz w:val="13"/>
                <w:szCs w:val="13"/>
                <w:color w:val="auto"/>
              </w:rPr>
            </w:pPr>
          </w:p>
        </w:tc>
        <w:tc>
          <w:tcPr>
            <w:tcW w:w="16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0" w:type="dxa"/>
            <w:vAlign w:val="bottom"/>
          </w:tcPr>
          <w:p>
            <w:pPr>
              <w:spacing w:after="0"/>
              <w:rPr>
                <w:sz w:val="1"/>
                <w:szCs w:val="1"/>
                <w:color w:val="auto"/>
              </w:rPr>
            </w:pPr>
          </w:p>
        </w:tc>
      </w:tr>
      <w:tr>
        <w:trPr>
          <w:trHeight w:val="148"/>
        </w:trPr>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tcPr>
          <w:p>
            <w:pPr>
              <w:spacing w:after="0"/>
              <w:rPr>
                <w:sz w:val="12"/>
                <w:szCs w:val="12"/>
                <w:color w:val="auto"/>
              </w:rPr>
            </w:pPr>
          </w:p>
        </w:tc>
        <w:tc>
          <w:tcPr>
            <w:tcW w:w="14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80" w:type="dxa"/>
            <w:vAlign w:val="bottom"/>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 for PEO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Adjustments ($)</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Paid to PEO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1660" w:type="dxa"/>
            <w:vAlign w:val="bottom"/>
            <w:gridSpan w:val="3"/>
          </w:tcPr>
          <w:p>
            <w:pPr>
              <w:spacing w:after="0"/>
              <w:rPr>
                <w:sz w:val="14"/>
                <w:szCs w:val="14"/>
                <w:color w:val="auto"/>
              </w:rPr>
            </w:pPr>
          </w:p>
        </w:tc>
        <w:tc>
          <w:tcPr>
            <w:tcW w:w="1680" w:type="dxa"/>
            <w:vAlign w:val="bottom"/>
            <w:gridSpan w:val="3"/>
          </w:tcPr>
          <w:p>
            <w:pPr>
              <w:spacing w:after="0"/>
              <w:rPr>
                <w:sz w:val="14"/>
                <w:szCs w:val="14"/>
                <w:color w:val="auto"/>
              </w:rPr>
            </w:pPr>
          </w:p>
        </w:tc>
        <w:tc>
          <w:tcPr>
            <w:tcW w:w="14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1,145,704</w:t>
            </w:r>
          </w:p>
        </w:tc>
        <w:tc>
          <w:tcPr>
            <w:tcW w:w="3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3"/>
            <w:shd w:val="clear" w:color="auto" w:fill="CFF0FC"/>
          </w:tcPr>
          <w:p>
            <w:pPr>
              <w:ind w:left="1220"/>
              <w:spacing w:after="0"/>
              <w:rPr>
                <w:sz w:val="20"/>
                <w:szCs w:val="20"/>
                <w:color w:val="auto"/>
              </w:rPr>
            </w:pPr>
            <w:r>
              <w:rPr>
                <w:rFonts w:ascii="Times New Roman" w:cs="Times New Roman" w:eastAsia="Times New Roman" w:hAnsi="Times New Roman"/>
                <w:sz w:val="14"/>
                <w:szCs w:val="14"/>
                <w:color w:val="auto"/>
              </w:rPr>
              <w:t>—  $</w:t>
            </w:r>
          </w:p>
        </w:tc>
        <w:tc>
          <w:tcPr>
            <w:tcW w:w="168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(3,944,361 )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(2,798,657 )</w:t>
            </w:r>
          </w:p>
        </w:tc>
        <w:tc>
          <w:tcPr>
            <w:tcW w:w="0" w:type="dxa"/>
            <w:vAlign w:val="bottom"/>
          </w:tcPr>
          <w:p>
            <w:pPr>
              <w:spacing w:after="0"/>
              <w:rPr>
                <w:sz w:val="1"/>
                <w:szCs w:val="1"/>
                <w:color w:val="auto"/>
              </w:rPr>
            </w:pPr>
          </w:p>
        </w:tc>
      </w:tr>
      <w:tr>
        <w:trPr>
          <w:trHeight w:val="188"/>
        </w:trPr>
        <w:tc>
          <w:tcPr>
            <w:tcW w:w="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2021</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5,430,828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(4,330,128 )</w:t>
            </w:r>
          </w:p>
        </w:tc>
        <w:tc>
          <w:tcPr>
            <w:tcW w:w="200" w:type="dxa"/>
            <w:vAlign w:val="bottom"/>
          </w:tcPr>
          <w:p>
            <w:pPr>
              <w:spacing w:after="0"/>
              <w:rPr>
                <w:sz w:val="16"/>
                <w:szCs w:val="16"/>
                <w:color w:val="auto"/>
              </w:rPr>
            </w:pPr>
          </w:p>
        </w:tc>
        <w:tc>
          <w:tcPr>
            <w:tcW w:w="16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(2,133,682 )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(1,032,982 )</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120" w:right="379" w:hanging="388"/>
        <w:spacing w:after="0" w:line="233" w:lineRule="auto"/>
        <w:tabs>
          <w:tab w:leader="none" w:pos="1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equity awards represents the total of the amounts reported in the “Stock Awards” and “Option Awards” columns in the Summary Compensation Table for the applicable year.</w:t>
      </w:r>
    </w:p>
    <w:p>
      <w:pPr>
        <w:ind w:left="1120" w:right="399" w:hanging="388"/>
        <w:spacing w:after="0" w:line="225" w:lineRule="auto"/>
        <w:tabs>
          <w:tab w:leader="none" w:pos="1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and (v) for awards granted in prior years that are determined to fail to meet the applicable vesting conditions during the applicable year, a deduction for the amount equal to the fair value at the end of the prior fiscal year. The valuation assumptions used to calculate fair values did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6" w:name="page37"/>
    <w:bookmarkEnd w:id="36"/>
    <w:p>
      <w:pPr>
        <w:ind w:left="1120" w:right="679"/>
        <w:spacing w:after="0" w:line="260" w:lineRule="auto"/>
        <w:rPr>
          <w:sz w:val="20"/>
          <w:szCs w:val="20"/>
          <w:color w:val="auto"/>
        </w:rPr>
      </w:pPr>
      <w:r>
        <w:rPr>
          <w:rFonts w:ascii="Times New Roman" w:cs="Times New Roman" w:eastAsia="Times New Roman" w:hAnsi="Times New Roman"/>
          <w:sz w:val="14"/>
          <w:szCs w:val="14"/>
          <w:color w:val="auto"/>
        </w:rPr>
        <w:t>not materially differ from those disclosed at the time of grant. The amounts deducted or added in calculating the equity award adjustments are as follows:</w:t>
      </w:r>
    </w:p>
    <w:p>
      <w:pPr>
        <w:spacing w:after="0" w:line="10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 Fair</w:t>
            </w:r>
          </w:p>
        </w:tc>
        <w:tc>
          <w:tcPr>
            <w:tcW w:w="80" w:type="dxa"/>
            <w:vAlign w:val="bottom"/>
          </w:tcPr>
          <w:p>
            <w:pPr>
              <w:spacing w:after="0"/>
              <w:rPr>
                <w:sz w:val="13"/>
                <w:szCs w:val="13"/>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Over Year Change in</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as of Vesting</w:t>
            </w:r>
          </w:p>
        </w:tc>
        <w:tc>
          <w:tcPr>
            <w:tcW w:w="80" w:type="dxa"/>
            <w:vAlign w:val="bottom"/>
          </w:tcPr>
          <w:p>
            <w:pPr>
              <w:spacing w:after="0"/>
              <w:rPr>
                <w:sz w:val="13"/>
                <w:szCs w:val="13"/>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Over Year Change in</w:t>
            </w:r>
          </w:p>
        </w:tc>
        <w:tc>
          <w:tcPr>
            <w:tcW w:w="60" w:type="dxa"/>
            <w:vAlign w:val="bottom"/>
          </w:tcPr>
          <w:p>
            <w:pPr>
              <w:spacing w:after="0"/>
              <w:rPr>
                <w:sz w:val="13"/>
                <w:szCs w:val="13"/>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Outstanding</w:t>
            </w: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 Equity Awards</w:t>
            </w:r>
          </w:p>
        </w:tc>
        <w:tc>
          <w:tcPr>
            <w:tcW w:w="8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Equity Awards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49"/>
        </w:trPr>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 Equity</w:t>
            </w: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and Vested in</w:t>
            </w:r>
          </w:p>
        </w:tc>
        <w:tc>
          <w:tcPr>
            <w:tcW w:w="8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 Years that</w:t>
            </w:r>
          </w:p>
        </w:tc>
        <w:tc>
          <w:tcPr>
            <w:tcW w:w="6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87"/>
        </w:trPr>
        <w:tc>
          <w:tcPr>
            <w:tcW w:w="5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Awards ($)</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the Year ($)</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Vested in the Year ($)</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840" w:type="dxa"/>
            <w:vAlign w:val="bottom"/>
            <w:gridSpan w:val="3"/>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1880" w:type="dxa"/>
            <w:vAlign w:val="bottom"/>
            <w:gridSpan w:val="3"/>
          </w:tcPr>
          <w:p>
            <w:pPr>
              <w:spacing w:after="0"/>
              <w:rPr>
                <w:sz w:val="14"/>
                <w:szCs w:val="14"/>
                <w:color w:val="auto"/>
              </w:rPr>
            </w:pPr>
          </w:p>
        </w:tc>
        <w:tc>
          <w:tcPr>
            <w:tcW w:w="8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4"/>
                <w:szCs w:val="14"/>
                <w:color w:val="auto"/>
              </w:rPr>
              <w:t>(2,745,643 ) $</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(1,198,718 ) $</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(3,944,361 )</w:t>
            </w:r>
          </w:p>
        </w:tc>
        <w:tc>
          <w:tcPr>
            <w:tcW w:w="0" w:type="dxa"/>
            <w:vAlign w:val="bottom"/>
          </w:tcPr>
          <w:p>
            <w:pPr>
              <w:spacing w:after="0"/>
              <w:rPr>
                <w:sz w:val="1"/>
                <w:szCs w:val="1"/>
                <w:color w:val="auto"/>
              </w:rPr>
            </w:pPr>
          </w:p>
        </w:tc>
      </w:tr>
      <w:tr>
        <w:trPr>
          <w:trHeight w:val="188"/>
        </w:trPr>
        <w:tc>
          <w:tcPr>
            <w:tcW w:w="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3,638,788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(4,368,034 )</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(1,525,501 )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(2,133,682 )</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680" w:right="339" w:hanging="388"/>
        <w:spacing w:after="0" w:line="227" w:lineRule="auto"/>
        <w:tabs>
          <w:tab w:leader="none" w:pos="6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(d) represent the average of the amounts reported for the NEOs as a group (excluding our former PEO) in the “Total” column of the Summary Compensation Table in each applicable year. The NEOs (excluding our former PEO) included for purposes of calculating the average amounts in each applicable year are as follows: (i) for 2022, Kimberly Manhard, and David Szekeres; and (ii) for 2021, Kimberly Manhard, John Poyhonen, David Szekeres and Lisa Peraza.</w:t>
      </w:r>
    </w:p>
    <w:p>
      <w:pPr>
        <w:ind w:left="680" w:right="399" w:hanging="388"/>
        <w:spacing w:after="0" w:line="227" w:lineRule="auto"/>
        <w:tabs>
          <w:tab w:leader="none" w:pos="6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(e) represent the average amount of “compensation actually paid” to the NEOs as a group (excluding our former PEO), as computed in accordance with Item 402(v) of Regulation S-K. The dollar amounts do not reflect the actual average amount of compensation earned by or paid to the NEOs as a group (excluding our former PEO) during the applicable year. In accordance with the requirements of Item 402(v) of Regulation S-K, the following adjustments were made to average total compensation for the NEOs as a group (excluding our former PEO) for each year to determine the compensation actually paid, using the same methodology described above:</w:t>
      </w:r>
    </w:p>
    <w:p>
      <w:pPr>
        <w:spacing w:after="0" w:line="10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21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Average Reported Summary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 Equity</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8"/>
        </w:trPr>
        <w:tc>
          <w:tcPr>
            <w:tcW w:w="8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10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 Total for</w:t>
            </w:r>
          </w:p>
        </w:tc>
        <w:tc>
          <w:tcPr>
            <w:tcW w:w="80" w:type="dxa"/>
            <w:vAlign w:val="bottom"/>
          </w:tcPr>
          <w:p>
            <w:pPr>
              <w:spacing w:after="0"/>
              <w:rPr>
                <w:sz w:val="12"/>
                <w:szCs w:val="12"/>
                <w:color w:val="auto"/>
              </w:rPr>
            </w:pPr>
          </w:p>
        </w:tc>
        <w:tc>
          <w:tcPr>
            <w:tcW w:w="490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Reported Value   Award Adjustments   Actually Paid to Non-PEO</w:t>
            </w:r>
          </w:p>
        </w:tc>
        <w:tc>
          <w:tcPr>
            <w:tcW w:w="0" w:type="dxa"/>
            <w:vAlign w:val="bottom"/>
          </w:tcPr>
          <w:p>
            <w:pPr>
              <w:spacing w:after="0"/>
              <w:rPr>
                <w:sz w:val="1"/>
                <w:szCs w:val="1"/>
                <w:color w:val="auto"/>
              </w:rPr>
            </w:pPr>
          </w:p>
        </w:tc>
      </w:tr>
      <w:tr>
        <w:trPr>
          <w:trHeight w:val="187"/>
        </w:trPr>
        <w:tc>
          <w:tcPr>
            <w:tcW w:w="8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of Equity Awards ($)</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NEOs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700" w:type="dxa"/>
            <w:vAlign w:val="bottom"/>
            <w:gridSpan w:val="3"/>
          </w:tcPr>
          <w:p>
            <w:pPr>
              <w:spacing w:after="0"/>
              <w:rPr>
                <w:sz w:val="14"/>
                <w:szCs w:val="14"/>
                <w:color w:val="auto"/>
              </w:rPr>
            </w:pPr>
          </w:p>
        </w:tc>
        <w:tc>
          <w:tcPr>
            <w:tcW w:w="1440" w:type="dxa"/>
            <w:vAlign w:val="bottom"/>
            <w:gridSpan w:val="3"/>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1,438,169</w:t>
            </w: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3"/>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rPr>
              <w:t>(676,938 ) $</w:t>
            </w: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(403,724 ) $</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357,507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2021</w:t>
            </w:r>
          </w:p>
        </w:tc>
        <w:tc>
          <w:tcPr>
            <w:tcW w:w="4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1,581,471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w w:val="99"/>
              </w:rPr>
              <w:t>(919,743 )</w:t>
            </w:r>
          </w:p>
        </w:tc>
        <w:tc>
          <w:tcPr>
            <w:tcW w:w="160" w:type="dxa"/>
            <w:vAlign w:val="bottom"/>
          </w:tcPr>
          <w:p>
            <w:pPr>
              <w:spacing w:after="0"/>
              <w:rPr>
                <w:sz w:val="16"/>
                <w:szCs w:val="16"/>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(1,281,087 )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(619,359 )</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120" w:hanging="388"/>
        <w:spacing w:after="0"/>
        <w:tabs>
          <w:tab w:leader="none" w:pos="1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deducted or added in calculating the total average equity award adjustments are as follows:</w:t>
      </w:r>
    </w:p>
    <w:p>
      <w:pPr>
        <w:spacing w:after="0" w:line="135"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Year</w:t>
            </w:r>
          </w:p>
        </w:tc>
        <w:tc>
          <w:tcPr>
            <w:tcW w:w="80" w:type="dxa"/>
            <w:vAlign w:val="bottom"/>
          </w:tcPr>
          <w:p>
            <w:pPr>
              <w:spacing w:after="0"/>
              <w:rPr>
                <w:sz w:val="13"/>
                <w:szCs w:val="13"/>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Over Year Average</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Fair Value as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Over Year Average</w:t>
            </w: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Average</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End Fair</w:t>
            </w:r>
          </w:p>
        </w:tc>
        <w:tc>
          <w:tcPr>
            <w:tcW w:w="80" w:type="dxa"/>
            <w:vAlign w:val="bottom"/>
          </w:tcPr>
          <w:p>
            <w:pPr>
              <w:spacing w:after="0"/>
              <w:rPr>
                <w:sz w:val="12"/>
                <w:szCs w:val="12"/>
                <w:color w:val="auto"/>
              </w:rPr>
            </w:pPr>
          </w:p>
        </w:tc>
        <w:tc>
          <w:tcPr>
            <w:tcW w:w="16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 Value of</w:t>
            </w:r>
          </w:p>
        </w:tc>
        <w:tc>
          <w:tcPr>
            <w:tcW w:w="140" w:type="dxa"/>
            <w:vAlign w:val="bottom"/>
          </w:tcPr>
          <w:p>
            <w:pPr>
              <w:spacing w:after="0"/>
              <w:rPr>
                <w:sz w:val="12"/>
                <w:szCs w:val="12"/>
                <w:color w:val="auto"/>
              </w:rPr>
            </w:pPr>
          </w:p>
        </w:tc>
        <w:tc>
          <w:tcPr>
            <w:tcW w:w="13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of Vesting Date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 Value of</w:t>
            </w: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Granted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Granted in</w:t>
            </w: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w:t>
            </w:r>
          </w:p>
        </w:tc>
        <w:tc>
          <w:tcPr>
            <w:tcW w:w="0" w:type="dxa"/>
            <w:vAlign w:val="bottom"/>
          </w:tcPr>
          <w:p>
            <w:pPr>
              <w:spacing w:after="0"/>
              <w:rPr>
                <w:sz w:val="1"/>
                <w:szCs w:val="1"/>
                <w:color w:val="auto"/>
              </w:rPr>
            </w:pPr>
          </w:p>
        </w:tc>
      </w:tr>
      <w:tr>
        <w:trPr>
          <w:trHeight w:val="149"/>
        </w:trPr>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2"/>
                <w:szCs w:val="12"/>
                <w:color w:val="auto"/>
              </w:rPr>
            </w:pPr>
          </w:p>
        </w:tc>
        <w:tc>
          <w:tcPr>
            <w:tcW w:w="8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Vested in the Year</w:t>
            </w:r>
          </w:p>
        </w:tc>
        <w:tc>
          <w:tcPr>
            <w:tcW w:w="80" w:type="dxa"/>
            <w:vAlign w:val="bottom"/>
          </w:tcPr>
          <w:p>
            <w:pPr>
              <w:spacing w:after="0"/>
              <w:rPr>
                <w:sz w:val="12"/>
                <w:szCs w:val="12"/>
                <w:color w:val="auto"/>
              </w:rPr>
            </w:pPr>
          </w:p>
        </w:tc>
        <w:tc>
          <w:tcPr>
            <w:tcW w:w="1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Prior Yeats that Vested in the</w:t>
            </w: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87"/>
        </w:trPr>
        <w:tc>
          <w:tcPr>
            <w:tcW w:w="6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Awards ($)</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Year ($)</w:t>
            </w: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1600" w:type="dxa"/>
            <w:vAlign w:val="bottom"/>
            <w:gridSpan w:val="3"/>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80" w:type="dxa"/>
            <w:vAlign w:val="bottom"/>
            <w:gridSpan w:val="3"/>
          </w:tcPr>
          <w:p>
            <w:pPr>
              <w:spacing w:after="0"/>
              <w:rPr>
                <w:sz w:val="14"/>
                <w:szCs w:val="14"/>
                <w:color w:val="auto"/>
              </w:rPr>
            </w:pPr>
          </w:p>
        </w:tc>
        <w:tc>
          <w:tcPr>
            <w:tcW w:w="8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636,720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(715,785 ) $</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49,053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3"/>
            <w:shd w:val="clear" w:color="auto" w:fill="CFF0FC"/>
          </w:tcPr>
          <w:p>
            <w:pPr>
              <w:ind w:left="1280"/>
              <w:spacing w:after="0"/>
              <w:rPr>
                <w:sz w:val="20"/>
                <w:szCs w:val="20"/>
                <w:color w:val="auto"/>
              </w:rPr>
            </w:pPr>
            <w:r>
              <w:rPr>
                <w:rFonts w:ascii="Times New Roman" w:cs="Times New Roman" w:eastAsia="Times New Roman" w:hAnsi="Times New Roman"/>
                <w:sz w:val="14"/>
                <w:szCs w:val="14"/>
                <w:color w:val="auto"/>
              </w:rPr>
              <w:t>(373,712 ) $</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(403,724 )</w:t>
            </w:r>
          </w:p>
        </w:tc>
        <w:tc>
          <w:tcPr>
            <w:tcW w:w="0" w:type="dxa"/>
            <w:vAlign w:val="bottom"/>
          </w:tcPr>
          <w:p>
            <w:pPr>
              <w:spacing w:after="0"/>
              <w:rPr>
                <w:sz w:val="1"/>
                <w:szCs w:val="1"/>
                <w:color w:val="auto"/>
              </w:rPr>
            </w:pPr>
          </w:p>
        </w:tc>
      </w:tr>
      <w:tr>
        <w:trPr>
          <w:trHeight w:val="188"/>
        </w:trPr>
        <w:tc>
          <w:tcPr>
            <w:tcW w:w="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775,845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(1,578,110 )</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w w:val="95"/>
              </w:rPr>
              <w:t>(501,251 )</w:t>
            </w:r>
          </w:p>
        </w:tc>
        <w:tc>
          <w:tcPr>
            <w:tcW w:w="2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(1,281,087 )</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680" w:right="399" w:hanging="388"/>
        <w:spacing w:after="0" w:line="241" w:lineRule="auto"/>
        <w:tabs>
          <w:tab w:leader="none" w:pos="680" w:val="left"/>
        </w:tabs>
        <w:numPr>
          <w:ilvl w:val="0"/>
          <w:numId w:val="31"/>
        </w:numPr>
        <w:rPr>
          <w:rFonts w:ascii="Times New Roman" w:cs="Times New Roman" w:eastAsia="Times New Roman" w:hAnsi="Times New Roman"/>
          <w:sz w:val="14"/>
          <w:szCs w:val="14"/>
          <w:color w:val="202124"/>
        </w:rPr>
      </w:pPr>
      <w:r>
        <w:rPr>
          <w:rFonts w:ascii="Times New Roman" w:cs="Times New Roman" w:eastAsia="Times New Roman" w:hAnsi="Times New Roman"/>
          <w:sz w:val="14"/>
          <w:szCs w:val="14"/>
          <w:color w:val="202124"/>
        </w:rPr>
        <w:t>The amount in column (f) is the c</w:t>
      </w:r>
      <w:r>
        <w:rPr>
          <w:rFonts w:ascii="Times New Roman" w:cs="Times New Roman" w:eastAsia="Times New Roman" w:hAnsi="Times New Roman"/>
          <w:sz w:val="14"/>
          <w:szCs w:val="14"/>
          <w:color w:val="000000"/>
        </w:rPr>
        <w:t>umulative TSR which is calculated by dividing the sum of the cumulative amount of dividends for the</w:t>
      </w:r>
      <w:r>
        <w:rPr>
          <w:rFonts w:ascii="Times New Roman" w:cs="Times New Roman" w:eastAsia="Times New Roman" w:hAnsi="Times New Roman"/>
          <w:sz w:val="14"/>
          <w:szCs w:val="14"/>
          <w:color w:val="202124"/>
        </w:rPr>
        <w:t xml:space="preserve"> </w:t>
      </w:r>
      <w:r>
        <w:rPr>
          <w:rFonts w:ascii="Times New Roman" w:cs="Times New Roman" w:eastAsia="Times New Roman" w:hAnsi="Times New Roman"/>
          <w:sz w:val="14"/>
          <w:szCs w:val="14"/>
          <w:color w:val="000000"/>
        </w:rPr>
        <w:t>measurement period, assuming dividend reinvestment, and the difference between the Company’s share price at the end and the beginning of the measurement period by the Company’s share price at the beginning of the measurement period.</w:t>
      </w:r>
    </w:p>
    <w:p>
      <w:pPr>
        <w:spacing w:after="0" w:line="68" w:lineRule="exact"/>
        <w:rPr>
          <w:rFonts w:ascii="Times New Roman" w:cs="Times New Roman" w:eastAsia="Times New Roman" w:hAnsi="Times New Roman"/>
          <w:sz w:val="14"/>
          <w:szCs w:val="14"/>
          <w:color w:val="202124"/>
        </w:rPr>
      </w:pPr>
    </w:p>
    <w:p>
      <w:pPr>
        <w:ind w:left="680" w:right="379" w:hanging="388"/>
        <w:spacing w:after="0" w:line="261" w:lineRule="auto"/>
        <w:tabs>
          <w:tab w:leader="none" w:pos="6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(g) represent the amount of net loss reflected in the Company’s audited financial statements for the applicable year.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62" w:lineRule="exact"/>
        <w:rPr>
          <w:sz w:val="20"/>
          <w:szCs w:val="20"/>
          <w:color w:val="auto"/>
        </w:rPr>
      </w:pPr>
    </w:p>
    <w:p>
      <w:pPr>
        <w:ind w:left="300" w:right="779" w:firstLine="441"/>
        <w:spacing w:after="0" w:line="281" w:lineRule="auto"/>
        <w:rPr>
          <w:sz w:val="20"/>
          <w:szCs w:val="20"/>
          <w:color w:val="auto"/>
        </w:rPr>
      </w:pPr>
      <w:r>
        <w:rPr>
          <w:rFonts w:ascii="Times New Roman" w:cs="Times New Roman" w:eastAsia="Times New Roman" w:hAnsi="Times New Roman"/>
          <w:sz w:val="17"/>
          <w:szCs w:val="17"/>
          <w:color w:val="auto"/>
        </w:rPr>
        <w:t>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 of the relationships between information presented in the Pay Versus Performance table.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p>
    <w:p>
      <w:pPr>
        <w:spacing w:after="0" w:line="146" w:lineRule="exact"/>
        <w:rPr>
          <w:sz w:val="20"/>
          <w:szCs w:val="20"/>
          <w:color w:val="auto"/>
        </w:rPr>
      </w:pPr>
    </w:p>
    <w:p>
      <w:pPr>
        <w:ind w:left="300" w:right="1339" w:firstLine="441"/>
        <w:spacing w:after="0" w:line="312" w:lineRule="auto"/>
        <w:rPr>
          <w:sz w:val="20"/>
          <w:szCs w:val="20"/>
          <w:color w:val="auto"/>
        </w:rPr>
      </w:pPr>
      <w:r>
        <w:rPr>
          <w:rFonts w:ascii="Times New Roman" w:cs="Times New Roman" w:eastAsia="Times New Roman" w:hAnsi="Times New Roman"/>
          <w:sz w:val="17"/>
          <w:szCs w:val="17"/>
          <w:color w:val="auto"/>
        </w:rPr>
        <w:t>We have not historically looked to net income (loss) as a performance measure for our executive compensation program. Our net loss was $182.0 million in 2022 and $220.7 million in 2021.</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160" w:lineRule="exact"/>
        <w:rPr>
          <w:sz w:val="20"/>
          <w:szCs w:val="20"/>
          <w:color w:val="auto"/>
        </w:rPr>
      </w:pPr>
    </w:p>
    <w:p>
      <w:pPr>
        <w:ind w:left="300" w:right="339" w:firstLine="441"/>
        <w:spacing w:after="0" w:line="255" w:lineRule="auto"/>
        <w:rPr>
          <w:sz w:val="20"/>
          <w:szCs w:val="20"/>
          <w:color w:val="auto"/>
        </w:rPr>
      </w:pPr>
      <w:r>
        <w:rPr>
          <w:rFonts w:ascii="Times New Roman" w:cs="Times New Roman" w:eastAsia="Times New Roman" w:hAnsi="Times New Roman"/>
          <w:sz w:val="18"/>
          <w:szCs w:val="18"/>
          <w:color w:val="auto"/>
        </w:rPr>
        <w:t>As shown in the following graph, the compensation actually paid to Dr. Quart and the average amount of compensation actually paid to our non-PEO NEOs as a group (excluding Dr. Quart) during the periods presented do have some correlation because a significant portion of their compensation is in the form of long-term equity awards. The equity award values are significantly impacted by changes in our stock price each period. These equity awards strongly align our executive officers' interests with those of our stockholders by providing a continuing financial incentive to maximize long-term value for our stockholders and by encouraging our executive officers to continue in our employment for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294005</wp:posOffset>
            </wp:positionV>
            <wp:extent cx="4852035" cy="2434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5203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00" w:right="419"/>
        <w:spacing w:after="0" w:line="243" w:lineRule="auto"/>
        <w:rPr>
          <w:sz w:val="20"/>
          <w:szCs w:val="20"/>
          <w:color w:val="auto"/>
        </w:rPr>
      </w:pPr>
      <w:r>
        <w:rPr>
          <w:rFonts w:ascii="Times New Roman" w:cs="Times New Roman" w:eastAsia="Times New Roman" w:hAnsi="Times New Roman"/>
          <w:sz w:val="14"/>
          <w:szCs w:val="14"/>
          <w:i w:val="1"/>
          <w:iCs w:val="1"/>
          <w:color w:val="auto"/>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8"/>
          <w:szCs w:val="18"/>
          <w:b w:val="1"/>
          <w:bCs w:val="1"/>
          <w:color w:val="auto"/>
        </w:rPr>
        <w:t>Equity-Based Compensation Plan Information</w:t>
      </w:r>
    </w:p>
    <w:p>
      <w:pPr>
        <w:spacing w:after="0" w:line="121" w:lineRule="exact"/>
        <w:rPr>
          <w:sz w:val="20"/>
          <w:szCs w:val="20"/>
          <w:color w:val="auto"/>
        </w:rPr>
      </w:pPr>
    </w:p>
    <w:p>
      <w:pPr>
        <w:ind w:left="300" w:right="619" w:firstLine="441"/>
        <w:spacing w:after="0" w:line="266" w:lineRule="auto"/>
        <w:rPr>
          <w:sz w:val="20"/>
          <w:szCs w:val="20"/>
          <w:color w:val="auto"/>
        </w:rPr>
      </w:pPr>
      <w:r>
        <w:rPr>
          <w:rFonts w:ascii="Times New Roman" w:cs="Times New Roman" w:eastAsia="Times New Roman" w:hAnsi="Times New Roman"/>
          <w:sz w:val="18"/>
          <w:szCs w:val="18"/>
          <w:color w:val="auto"/>
        </w:rPr>
        <w:t>The table below discloses information as of December 31, 2022 with respect to our equity-based compensation plans that have been approved by stockholders and equity-based compensation plans that have not been approved by stockholders.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Equity-Based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or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Vesting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Equity-based compensation plans approved by security</w:t>
            </w: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holders:</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180"/>
              <w:spacing w:after="0" w:line="175" w:lineRule="exact"/>
              <w:rPr>
                <w:sz w:val="20"/>
                <w:szCs w:val="20"/>
                <w:color w:val="auto"/>
              </w:rPr>
            </w:pPr>
            <w:r>
              <w:rPr>
                <w:rFonts w:ascii="Times New Roman" w:cs="Times New Roman" w:eastAsia="Times New Roman" w:hAnsi="Times New Roman"/>
                <w:sz w:val="14"/>
                <w:szCs w:val="14"/>
                <w:color w:val="auto"/>
              </w:rPr>
              <w:t>Stock option and award plans</w:t>
            </w:r>
            <w:r>
              <w:rPr>
                <w:rFonts w:ascii="Times New Roman" w:cs="Times New Roman" w:eastAsia="Times New Roman" w:hAnsi="Times New Roman"/>
                <w:sz w:val="19"/>
                <w:szCs w:val="19"/>
                <w:color w:val="auto"/>
                <w:vertAlign w:val="superscript"/>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22,929,854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985,119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FF0FC"/>
          </w:tcPr>
          <w:p>
            <w:pPr>
              <w:ind w:left="180"/>
              <w:spacing w:after="0" w:line="175" w:lineRule="exact"/>
              <w:rPr>
                <w:sz w:val="20"/>
                <w:szCs w:val="20"/>
                <w:color w:val="auto"/>
              </w:rPr>
            </w:pPr>
            <w:r>
              <w:rPr>
                <w:rFonts w:ascii="Times New Roman" w:cs="Times New Roman" w:eastAsia="Times New Roman" w:hAnsi="Times New Roman"/>
                <w:sz w:val="14"/>
                <w:szCs w:val="14"/>
                <w:color w:val="auto"/>
              </w:rPr>
              <w:t>Employee stock purchase plan</w:t>
            </w:r>
            <w:r>
              <w:rPr>
                <w:rFonts w:ascii="Times New Roman" w:cs="Times New Roman" w:eastAsia="Times New Roman" w:hAnsi="Times New Roman"/>
                <w:sz w:val="19"/>
                <w:szCs w:val="19"/>
                <w:color w:val="auto"/>
                <w:vertAlign w:val="superscript"/>
              </w:rPr>
              <w:t>(2)</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644,601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Equity-based compensation plans not approved by</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986,892</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security holders</w:t>
            </w:r>
            <w:r>
              <w:rPr>
                <w:rFonts w:ascii="Times New Roman" w:cs="Times New Roman" w:eastAsia="Times New Roman" w:hAnsi="Times New Roman"/>
                <w:sz w:val="19"/>
                <w:szCs w:val="19"/>
                <w:color w:val="auto"/>
                <w:vertAlign w:val="superscript"/>
              </w:rPr>
              <w:t>(3)</w:t>
            </w:r>
          </w:p>
        </w:tc>
        <w:tc>
          <w:tcPr>
            <w:tcW w:w="112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60" w:type="dxa"/>
            <w:vAlign w:val="bottom"/>
            <w:tcBorders>
              <w:bottom w:val="single" w:sz="8" w:color="CFF0FC"/>
            </w:tcBorders>
            <w:shd w:val="clear" w:color="auto" w:fill="CFF0FC"/>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23,916,746</w:t>
            </w:r>
          </w:p>
        </w:tc>
        <w:tc>
          <w:tcPr>
            <w:tcW w:w="280" w:type="dxa"/>
            <w:vAlign w:val="bottom"/>
            <w:tcBorders>
              <w:bottom w:val="single" w:sz="8" w:color="CFF0FC"/>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14.61</w:t>
            </w:r>
          </w:p>
        </w:tc>
        <w:tc>
          <w:tcPr>
            <w:tcW w:w="1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1,629,720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-25400</wp:posOffset>
            </wp:positionV>
            <wp:extent cx="43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-8255</wp:posOffset>
            </wp:positionV>
            <wp:extent cx="431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-25400</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-8255</wp:posOffset>
            </wp:positionV>
            <wp:extent cx="342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06" w:lineRule="exact"/>
        <w:rPr>
          <w:sz w:val="20"/>
          <w:szCs w:val="20"/>
          <w:color w:val="auto"/>
        </w:rPr>
      </w:pPr>
    </w:p>
    <w:p>
      <w:pPr>
        <w:ind w:left="580" w:right="419" w:hanging="288"/>
        <w:spacing w:after="0" w:line="233" w:lineRule="auto"/>
        <w:tabs>
          <w:tab w:leader="none" w:pos="5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Amended and Restated 2007 Equity Incentive Plan. See a description of this plan under Note 10 to the Financial Statements in our Annual Report on Form 10-K for the year ended December 31, 2022.</w:t>
      </w:r>
    </w:p>
    <w:p>
      <w:pPr>
        <w:ind w:left="580" w:right="559" w:hanging="288"/>
        <w:spacing w:after="0" w:line="221" w:lineRule="auto"/>
        <w:tabs>
          <w:tab w:leader="none" w:pos="5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1997 Employee Stock Purchase Plan. See a description of this plan under Note 10 to the Financial Statements in our Annual Report on Form 10-K for the year ended December 31, 2022.</w:t>
      </w:r>
    </w:p>
    <w:p>
      <w:pPr>
        <w:jc w:val="both"/>
        <w:ind w:left="580" w:right="479" w:hanging="288"/>
        <w:spacing w:after="0" w:line="233" w:lineRule="auto"/>
        <w:tabs>
          <w:tab w:leader="none" w:pos="5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Non-qualified options issued outside of the stockholder approved equity plans are governed in all respects by terms as if granted under the Amended and Restated 2007 Equity Incentive Plan. See description of the stock option plans under Note 10 to the Financial Statements in our Annual Report on Form 10-K for the year ended December 31, 2022.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left="300" w:right="459" w:firstLine="441"/>
        <w:spacing w:after="0" w:line="261" w:lineRule="auto"/>
        <w:rPr>
          <w:sz w:val="20"/>
          <w:szCs w:val="20"/>
          <w:color w:val="auto"/>
        </w:rPr>
      </w:pPr>
      <w:r>
        <w:rPr>
          <w:rFonts w:ascii="Times New Roman" w:cs="Times New Roman" w:eastAsia="Times New Roman" w:hAnsi="Times New Roman"/>
          <w:sz w:val="18"/>
          <w:szCs w:val="18"/>
          <w:color w:val="auto"/>
        </w:rPr>
        <w:t>The Audit Committee oversaw our accounting and financial reporting processes during the year ended December 31, 2022, as well as the audit of the Company’s financial statements for the year ended December 31, 2022. In addition, the Audit Committee was responsible for evaluating and overseeing the Company’s independent registered public accounting firm.</w:t>
      </w:r>
    </w:p>
    <w:p>
      <w:pPr>
        <w:spacing w:after="0" w:line="180" w:lineRule="exact"/>
        <w:rPr>
          <w:sz w:val="20"/>
          <w:szCs w:val="20"/>
          <w:color w:val="auto"/>
        </w:rPr>
      </w:pPr>
    </w:p>
    <w:p>
      <w:pPr>
        <w:ind w:left="300" w:right="479"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evaluates auditor performance, manages relations with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w:t>
      </w:r>
      <w:r>
        <w:rPr>
          <w:rFonts w:ascii="Times New Roman" w:cs="Times New Roman" w:eastAsia="Times New Roman" w:hAnsi="Times New Roman"/>
          <w:sz w:val="18"/>
          <w:szCs w:val="18"/>
          <w:i w:val="1"/>
          <w:iCs w:val="1"/>
          <w:color w:val="auto"/>
        </w:rPr>
        <w:t>www.herontx.com</w:t>
      </w:r>
      <w:r>
        <w:rPr>
          <w:rFonts w:ascii="Times New Roman" w:cs="Times New Roman" w:eastAsia="Times New Roman" w:hAnsi="Times New Roman"/>
          <w:sz w:val="18"/>
          <w:szCs w:val="18"/>
          <w:color w:val="auto"/>
        </w:rPr>
        <w:t>. The current members of the Audit Committee meet the independence and qualification standards for Audit Committee membership set forth in the listing standards provided by Nasdaq and the SEC.</w:t>
      </w:r>
    </w:p>
    <w:p>
      <w:pPr>
        <w:spacing w:after="0" w:line="187" w:lineRule="exact"/>
        <w:rPr>
          <w:sz w:val="20"/>
          <w:szCs w:val="20"/>
          <w:color w:val="auto"/>
        </w:rPr>
      </w:pPr>
    </w:p>
    <w:p>
      <w:pPr>
        <w:ind w:left="300" w:right="519" w:firstLine="441"/>
        <w:spacing w:after="0" w:line="258" w:lineRule="auto"/>
        <w:rPr>
          <w:sz w:val="20"/>
          <w:szCs w:val="20"/>
          <w:color w:val="auto"/>
        </w:rPr>
      </w:pPr>
      <w:r>
        <w:rPr>
          <w:rFonts w:ascii="Times New Roman" w:cs="Times New Roman" w:eastAsia="Times New Roman" w:hAnsi="Times New Roman"/>
          <w:sz w:val="18"/>
          <w:szCs w:val="18"/>
          <w:color w:val="auto"/>
        </w:rPr>
        <w:t>The members’ functions are not intended to duplicate or to certify the activities of management and the independent registered public accounting firm. The Audit Committee serves a board-level oversight role that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83" w:lineRule="exact"/>
        <w:rPr>
          <w:sz w:val="20"/>
          <w:szCs w:val="20"/>
          <w:color w:val="auto"/>
        </w:rPr>
      </w:pPr>
    </w:p>
    <w:p>
      <w:pPr>
        <w:ind w:left="300" w:right="359" w:firstLine="441"/>
        <w:spacing w:after="0" w:line="254"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The Company’s management has the primary responsibility for the financial statements and reporting process, including the Company’s system of internal controls over financial reporting. In fulfilling its oversight responsibilities, the Audit Committee reviewed and discussed the audited financial statements included in the Annual Report on Form 10-K for the year ended December 31, 2022 with management.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its internal controls over financial reporting pursuant to Section 404 of the Sarbanes-Oxley Act of 2002.</w:t>
      </w:r>
    </w:p>
    <w:p>
      <w:pPr>
        <w:spacing w:after="0" w:line="188" w:lineRule="exact"/>
        <w:rPr>
          <w:sz w:val="20"/>
          <w:szCs w:val="20"/>
          <w:color w:val="auto"/>
        </w:rPr>
      </w:pPr>
    </w:p>
    <w:p>
      <w:pPr>
        <w:ind w:left="300" w:right="339" w:firstLine="441"/>
        <w:spacing w:after="0" w:line="253" w:lineRule="auto"/>
        <w:rPr>
          <w:sz w:val="20"/>
          <w:szCs w:val="20"/>
          <w:color w:val="auto"/>
        </w:rPr>
      </w:pPr>
      <w:r>
        <w:rPr>
          <w:rFonts w:ascii="Times New Roman" w:cs="Times New Roman" w:eastAsia="Times New Roman" w:hAnsi="Times New Roman"/>
          <w:sz w:val="18"/>
          <w:szCs w:val="18"/>
          <w:color w:val="auto"/>
        </w:rPr>
        <w:t>The Audit Committee has discussed with the Company’s independent registered public accounting firm, which is responsible for expressing an opinion on the conformity of the audited financial statements with accounting principles generally accepted in the United States of America, their judgments as to the quality and the acceptability of the Company’s financial reporting and the matters required to be discussed by the applicable requirements of the Public Company Accounting Oversight Board and the SEC.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The Audit Committee discussed with the independent registered public accounting firm their independence and any additional matters required by the applicable rules of the Public Company Accounting Oversight Board.</w:t>
      </w:r>
    </w:p>
    <w:p>
      <w:pPr>
        <w:spacing w:after="0" w:line="194" w:lineRule="exact"/>
        <w:rPr>
          <w:sz w:val="20"/>
          <w:szCs w:val="20"/>
          <w:color w:val="auto"/>
        </w:rPr>
      </w:pPr>
    </w:p>
    <w:p>
      <w:pPr>
        <w:ind w:left="300" w:right="359" w:firstLine="441"/>
        <w:spacing w:after="0" w:line="256" w:lineRule="auto"/>
        <w:rPr>
          <w:sz w:val="20"/>
          <w:szCs w:val="20"/>
          <w:color w:val="auto"/>
        </w:rPr>
      </w:pPr>
      <w:r>
        <w:rPr>
          <w:rFonts w:ascii="Times New Roman" w:cs="Times New Roman" w:eastAsia="Times New Roman" w:hAnsi="Times New Roman"/>
          <w:sz w:val="18"/>
          <w:szCs w:val="18"/>
          <w:color w:val="auto"/>
        </w:rPr>
        <w:t>In addition to the matters specified above, the Audit Committee discussed with the Company’s independent registered public accounting firm the overall scope, plans and estimated costs of their audit. The Audit Committee meets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87" w:lineRule="exact"/>
        <w:rPr>
          <w:sz w:val="20"/>
          <w:szCs w:val="20"/>
          <w:color w:val="auto"/>
        </w:rPr>
      </w:pPr>
    </w:p>
    <w:p>
      <w:pPr>
        <w:ind w:left="300" w:right="499" w:firstLine="441"/>
        <w:spacing w:after="0" w:line="266" w:lineRule="auto"/>
        <w:rPr>
          <w:sz w:val="20"/>
          <w:szCs w:val="20"/>
          <w:color w:val="auto"/>
        </w:rPr>
      </w:pPr>
      <w:r>
        <w:rPr>
          <w:rFonts w:ascii="Times New Roman" w:cs="Times New Roman" w:eastAsia="Times New Roman" w:hAnsi="Times New Roman"/>
          <w:sz w:val="18"/>
          <w:szCs w:val="18"/>
          <w:color w:val="auto"/>
        </w:rPr>
        <w:t>Based on the reviews, discussions, and written disclosures, referred to above, the Audit Committee recommended to the Board that the Company’s audited financial statements be included in the Company’s Annual Report on Form 10-K for the year ended December 31, 2022 for filing with the SEC.</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Craig Johnson, Chairperson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Kevin Kotler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Susan Rodriguez</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left="300" w:right="419"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shows the aggregate fees for services rendered in or provided for 2022 and 2021, as applicable, by Withum Smith+Brown, PC (“</w:t>
      </w:r>
      <w:r>
        <w:rPr>
          <w:rFonts w:ascii="Times New Roman" w:cs="Times New Roman" w:eastAsia="Times New Roman" w:hAnsi="Times New Roman"/>
          <w:sz w:val="18"/>
          <w:szCs w:val="18"/>
          <w:b w:val="1"/>
          <w:bCs w:val="1"/>
          <w:i w:val="1"/>
          <w:iCs w:val="1"/>
          <w:color w:val="auto"/>
        </w:rPr>
        <w:t>Withum</w:t>
      </w:r>
      <w:r>
        <w:rPr>
          <w:rFonts w:ascii="Times New Roman" w:cs="Times New Roman" w:eastAsia="Times New Roman" w:hAnsi="Times New Roman"/>
          <w:sz w:val="18"/>
          <w:szCs w:val="18"/>
          <w:color w:val="auto"/>
        </w:rPr>
        <w:t>”) and OUM &amp; Co. LLP (“</w:t>
      </w:r>
      <w:r>
        <w:rPr>
          <w:rFonts w:ascii="Times New Roman" w:cs="Times New Roman" w:eastAsia="Times New Roman" w:hAnsi="Times New Roman"/>
          <w:sz w:val="18"/>
          <w:szCs w:val="18"/>
          <w:b w:val="1"/>
          <w:bCs w:val="1"/>
          <w:i w:val="1"/>
          <w:iCs w:val="1"/>
          <w:color w:val="auto"/>
        </w:rPr>
        <w:t>OUM</w:t>
      </w:r>
      <w:r>
        <w:rPr>
          <w:rFonts w:ascii="Times New Roman" w:cs="Times New Roman" w:eastAsia="Times New Roman" w:hAnsi="Times New Roman"/>
          <w:sz w:val="18"/>
          <w:szCs w:val="18"/>
          <w:color w:val="auto"/>
        </w:rPr>
        <w:t>”), our independent registered public accounting firms.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8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9"/>
                <w:szCs w:val="19"/>
                <w:color w:val="auto"/>
                <w:vertAlign w:val="superscript"/>
              </w:rPr>
              <w:t>(1)</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406,952</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488,303</w:t>
            </w:r>
          </w:p>
        </w:tc>
        <w:tc>
          <w:tcPr>
            <w:tcW w:w="80" w:type="dxa"/>
            <w:vAlign w:val="bottom"/>
            <w:shd w:val="clear" w:color="auto" w:fill="CFF0FC"/>
          </w:tcPr>
          <w:p>
            <w:pPr>
              <w:spacing w:after="0"/>
              <w:rPr>
                <w:sz w:val="14"/>
                <w:szCs w:val="14"/>
                <w:color w:val="auto"/>
              </w:rPr>
            </w:pPr>
          </w:p>
        </w:tc>
      </w:tr>
      <w:tr>
        <w:trPr>
          <w:trHeight w:val="175"/>
        </w:trPr>
        <w:tc>
          <w:tcPr>
            <w:tcW w:w="580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Audit-related fees</w:t>
            </w:r>
            <w:r>
              <w:rPr>
                <w:rFonts w:ascii="Times New Roman" w:cs="Times New Roman" w:eastAsia="Times New Roman" w:hAnsi="Times New Roman"/>
                <w:sz w:val="19"/>
                <w:szCs w:val="19"/>
                <w:color w:val="auto"/>
                <w:vertAlign w:val="superscript"/>
              </w:rPr>
              <w:t>(2)</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18,500</w:t>
            </w:r>
          </w:p>
        </w:tc>
        <w:tc>
          <w:tcPr>
            <w:tcW w:w="80" w:type="dxa"/>
            <w:vAlign w:val="bottom"/>
          </w:tcPr>
          <w:p>
            <w:pPr>
              <w:spacing w:after="0"/>
              <w:rPr>
                <w:sz w:val="15"/>
                <w:szCs w:val="15"/>
                <w:color w:val="auto"/>
              </w:rPr>
            </w:pPr>
          </w:p>
        </w:tc>
      </w:tr>
      <w:tr>
        <w:trPr>
          <w:trHeight w:val="176"/>
        </w:trPr>
        <w:tc>
          <w:tcPr>
            <w:tcW w:w="580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19"/>
                <w:szCs w:val="19"/>
                <w:color w:val="auto"/>
                <w:vertAlign w:val="superscript"/>
              </w:rPr>
              <w:t>(3)</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98,826</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67,750</w:t>
            </w:r>
          </w:p>
        </w:tc>
        <w:tc>
          <w:tcPr>
            <w:tcW w:w="80" w:type="dxa"/>
            <w:vAlign w:val="bottom"/>
            <w:shd w:val="clear" w:color="auto" w:fill="CFF0FC"/>
          </w:tcPr>
          <w:p>
            <w:pPr>
              <w:spacing w:after="0"/>
              <w:rPr>
                <w:sz w:val="15"/>
                <w:szCs w:val="15"/>
                <w:color w:val="auto"/>
              </w:rPr>
            </w:pPr>
          </w:p>
        </w:tc>
      </w:tr>
      <w:tr>
        <w:trPr>
          <w:trHeight w:val="176"/>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All other fees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209"/>
        </w:trPr>
        <w:tc>
          <w:tcPr>
            <w:tcW w:w="5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528,658</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574,553</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-25400</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-25400</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-7620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6" w:lineRule="exact"/>
        <w:rPr>
          <w:sz w:val="20"/>
          <w:szCs w:val="20"/>
          <w:color w:val="auto"/>
        </w:rPr>
      </w:pPr>
    </w:p>
    <w:p>
      <w:pPr>
        <w:ind w:left="680" w:right="399" w:hanging="388"/>
        <w:spacing w:after="0" w:line="229" w:lineRule="auto"/>
        <w:tabs>
          <w:tab w:leader="none" w:pos="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fees were for professional services rendered in connection with the audit of our annual financial statements and internal control over financial reporting and for the review of the quarterly financial statements. The amounts also include fees for services that are normally provided by the auditor in connection with regulatory filings and engagements for the years identified.</w:t>
      </w:r>
    </w:p>
    <w:p>
      <w:pPr>
        <w:ind w:left="680" w:right="479" w:hanging="388"/>
        <w:spacing w:after="0" w:line="221" w:lineRule="auto"/>
        <w:tabs>
          <w:tab w:leader="none" w:pos="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Audit-related fees for both 2022 and 2021 include fees for procedures performed during that year in connection with the audit of the Heron Therapeutics, Inc. 401(k) Plan.</w:t>
      </w:r>
    </w:p>
    <w:p>
      <w:pPr>
        <w:ind w:left="680" w:hanging="388"/>
        <w:spacing w:after="0"/>
        <w:tabs>
          <w:tab w:leader="none" w:pos="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for tax compliance.</w:t>
      </w:r>
    </w:p>
    <w:p>
      <w:pPr>
        <w:spacing w:after="0" w:line="192" w:lineRule="exact"/>
        <w:rPr>
          <w:sz w:val="20"/>
          <w:szCs w:val="20"/>
          <w:color w:val="auto"/>
        </w:rPr>
      </w:pPr>
    </w:p>
    <w:p>
      <w:pPr>
        <w:ind w:left="300" w:right="339" w:firstLine="441"/>
        <w:spacing w:after="0" w:line="256" w:lineRule="auto"/>
        <w:rPr>
          <w:sz w:val="20"/>
          <w:szCs w:val="20"/>
          <w:color w:val="auto"/>
        </w:rPr>
      </w:pPr>
      <w:r>
        <w:rPr>
          <w:rFonts w:ascii="Times New Roman" w:cs="Times New Roman" w:eastAsia="Times New Roman" w:hAnsi="Times New Roman"/>
          <w:sz w:val="18"/>
          <w:szCs w:val="18"/>
          <w:color w:val="auto"/>
        </w:rPr>
        <w:t>The Audit Committee reviews and pre-approves all audit and non-audit services performed by its independent registered public accounting firm, as well as the fees charged for such services, in accordance with the pre-approval policies and procedures that have been established by the Audit Committee. All fees incurred in the year ended December 31, 2022 for services rendered by Withum were approved by the Audit Committee. In its review of non-audit service fees, the Audit Committee will consider, among other things, the possible impact of the performance of such services on the auditor’s independence.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121" w:lineRule="exact"/>
        <w:rPr>
          <w:sz w:val="20"/>
          <w:szCs w:val="20"/>
          <w:color w:val="auto"/>
        </w:rPr>
      </w:pPr>
    </w:p>
    <w:p>
      <w:pPr>
        <w:ind w:left="300" w:right="439" w:firstLine="339"/>
        <w:spacing w:after="0" w:line="256" w:lineRule="auto"/>
        <w:rPr>
          <w:sz w:val="20"/>
          <w:szCs w:val="20"/>
          <w:color w:val="auto"/>
        </w:rPr>
      </w:pPr>
      <w:r>
        <w:rPr>
          <w:rFonts w:ascii="Times New Roman" w:cs="Times New Roman" w:eastAsia="Times New Roman" w:hAnsi="Times New Roman"/>
          <w:sz w:val="18"/>
          <w:szCs w:val="18"/>
          <w:color w:val="auto"/>
        </w:rPr>
        <w:t>As previously disclosed in our Current Report on Form 8-K filed with the SEC on August 2, 2021, on July 15, 2021, Withum acquired certain assets of OUM, the independent registered public accounting firm of the Company, in a transaction pursuant to which certain of the professional staff and partners of OUM joined Withum either as employees or partners of Withum. As a result, on August 2, 2021, OUM resigned as auditors of the Company, and with the approval of the Audit Committee of the Company’s Board of Directors, Withum was engaged as the Company’s independent registered public accounting firm.</w:t>
      </w:r>
    </w:p>
    <w:p>
      <w:pPr>
        <w:spacing w:after="0" w:line="79" w:lineRule="exact"/>
        <w:rPr>
          <w:sz w:val="20"/>
          <w:szCs w:val="20"/>
          <w:color w:val="auto"/>
        </w:rPr>
      </w:pPr>
    </w:p>
    <w:p>
      <w:pPr>
        <w:ind w:left="300" w:right="399" w:firstLine="339"/>
        <w:spacing w:after="0" w:line="258" w:lineRule="auto"/>
        <w:rPr>
          <w:sz w:val="20"/>
          <w:szCs w:val="20"/>
          <w:color w:val="auto"/>
        </w:rPr>
      </w:pPr>
      <w:r>
        <w:rPr>
          <w:rFonts w:ascii="Times New Roman" w:cs="Times New Roman" w:eastAsia="Times New Roman" w:hAnsi="Times New Roman"/>
          <w:sz w:val="18"/>
          <w:szCs w:val="18"/>
          <w:color w:val="auto"/>
        </w:rPr>
        <w:t>Prior to engaging Withum, the Company did not consult with Withum regarding the application of accounting principles to a specific completed or proposed transaction or regarding the type of audit opinions that might be rendered by Withum on the Company’s financial statements, and Withum did not provide any written or oral advice that was an important factor considered by the Company in reaching a decision as to any such accounting, auditing or financial reporting issue.</w:t>
      </w:r>
    </w:p>
    <w:p>
      <w:pPr>
        <w:spacing w:after="0" w:line="75" w:lineRule="exact"/>
        <w:rPr>
          <w:sz w:val="20"/>
          <w:szCs w:val="20"/>
          <w:color w:val="auto"/>
        </w:rPr>
      </w:pPr>
    </w:p>
    <w:p>
      <w:pPr>
        <w:ind w:left="300" w:right="339" w:firstLine="339"/>
        <w:spacing w:after="0" w:line="273" w:lineRule="auto"/>
        <w:rPr>
          <w:sz w:val="20"/>
          <w:szCs w:val="20"/>
          <w:color w:val="auto"/>
        </w:rPr>
      </w:pPr>
      <w:r>
        <w:rPr>
          <w:rFonts w:ascii="Times New Roman" w:cs="Times New Roman" w:eastAsia="Times New Roman" w:hAnsi="Times New Roman"/>
          <w:sz w:val="17"/>
          <w:szCs w:val="17"/>
          <w:color w:val="auto"/>
        </w:rPr>
        <w:t>During the years ended December 31, 2020 and 2019, and during the interim period from the end of the most recently completed year through August 2, 2021, the date of resignation, there were no (i) disagreements, within the meaning of Item 304(a)(1)(iv) of Regulation S-K promulgated under the Securities Exchange Act of 1934, as amended (“</w:t>
      </w:r>
      <w:r>
        <w:rPr>
          <w:rFonts w:ascii="Times New Roman" w:cs="Times New Roman" w:eastAsia="Times New Roman" w:hAnsi="Times New Roman"/>
          <w:sz w:val="17"/>
          <w:szCs w:val="17"/>
          <w:b w:val="1"/>
          <w:bCs w:val="1"/>
          <w:i w:val="1"/>
          <w:iCs w:val="1"/>
          <w:color w:val="auto"/>
        </w:rPr>
        <w:t>Regulation S-K</w:t>
      </w:r>
      <w:r>
        <w:rPr>
          <w:rFonts w:ascii="Times New Roman" w:cs="Times New Roman" w:eastAsia="Times New Roman" w:hAnsi="Times New Roman"/>
          <w:sz w:val="17"/>
          <w:szCs w:val="17"/>
          <w:color w:val="auto"/>
        </w:rPr>
        <w:t>”), and the related instructions thereto, with OUM on any matter of accounting principles or practices, financial statement disclosure or auditing scope or procedures, which disagreements, if not resolved to the satisfaction of OUM, would have caused OUM to make reference to such disagreements in its report; or (ii) reportable events within the meaning of Item 304(a)(1)(v) of Regulation S-K and the related instructions thereto.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9" w:lineRule="exact"/>
        <w:rPr>
          <w:sz w:val="20"/>
          <w:szCs w:val="20"/>
          <w:color w:val="auto"/>
        </w:rPr>
      </w:pPr>
    </w:p>
    <w:p>
      <w:pPr>
        <w:ind w:left="300" w:right="339" w:firstLine="441"/>
        <w:spacing w:after="0" w:line="253" w:lineRule="auto"/>
        <w:rPr>
          <w:sz w:val="20"/>
          <w:szCs w:val="20"/>
          <w:color w:val="auto"/>
        </w:rPr>
      </w:pPr>
      <w:r>
        <w:rPr>
          <w:rFonts w:ascii="Times New Roman" w:cs="Times New Roman" w:eastAsia="Times New Roman" w:hAnsi="Times New Roman"/>
          <w:sz w:val="18"/>
          <w:szCs w:val="18"/>
          <w:color w:val="auto"/>
        </w:rPr>
        <w:t>At the Annual Meeting, the stockholders will vote to elect seven director nominees to serve until the 2024 Annual Meeting of Stockholders and until their successors are duly elected and qualified. Pursuant to the Cooperation Agreement, the Company agreed to appoint Messrs. Collard, Kotler and Morgan to the Board and include Messrs. Collard, Kotler and Morgan in the Company’s slate of nominees for the election of directors at the Annual Meeting and recommend that the Company’s stockholders vote in favor of their election at the Annual Meeting. In addition, our Board has unanimously nominated Dr. Dissanaike, Ms. Rodriguez and Messrs. Johnson and Waage nominees for the election of directors at the Annual Meeting and recommend that the Company’s stockholders vote in favor of their election at the Annual Meeting. The foregoing director nominees have indicated that they are willing and able to serve as directors if elected. If any of these individuals becomes unable or unwilling to serve, the accompanying proxy may be voted for the election of such other person as shall be designated by our Board or our Board may decrease the size of our Board. The proxies being solicited will be voted for no more than seven director nominees at the Annual Meeting.</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9" w:lineRule="exact"/>
        <w:rPr>
          <w:sz w:val="20"/>
          <w:szCs w:val="20"/>
          <w:color w:val="auto"/>
        </w:rPr>
      </w:pPr>
    </w:p>
    <w:p>
      <w:pPr>
        <w:ind w:left="300" w:right="419" w:firstLine="441"/>
        <w:spacing w:after="0" w:line="255" w:lineRule="auto"/>
        <w:rPr>
          <w:sz w:val="20"/>
          <w:szCs w:val="20"/>
          <w:color w:val="auto"/>
        </w:rPr>
      </w:pPr>
      <w:r>
        <w:rPr>
          <w:rFonts w:ascii="Times New Roman" w:cs="Times New Roman" w:eastAsia="Times New Roman" w:hAnsi="Times New Roman"/>
          <w:sz w:val="18"/>
          <w:szCs w:val="18"/>
          <w:color w:val="auto"/>
        </w:rPr>
        <w:t>The director nominees shall be elected by a majority of the votes properly cast with respect to that director nominee, provided a quorum is established. We have been advised by the NYSE that the election of directors is considered a “non-routine” matter under NYSE rules. Therefore, if you are a beneficial owner and do not give your broker, bank or other agent voting instructions, the institution that holds your shares may not have discretionary authority to vote your shares with respect to this proposal. Accordingly, assuming this proposal is deemed to be a “non-routine” matter under NYSE rules as we have been advised by the NYSE, abstentions and broker non-votes will have no effect on this proposal.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 of the director nominees.</w:t>
      </w:r>
    </w:p>
    <w:p>
      <w:pPr>
        <w:spacing w:after="0" w:line="229" w:lineRule="exact"/>
        <w:rPr>
          <w:sz w:val="20"/>
          <w:szCs w:val="20"/>
          <w:color w:val="auto"/>
        </w:rPr>
      </w:pPr>
    </w:p>
    <w:p>
      <w:pPr>
        <w:ind w:left="300" w:right="399" w:firstLine="441"/>
        <w:spacing w:after="0" w:line="266" w:lineRule="auto"/>
        <w:rPr>
          <w:sz w:val="20"/>
          <w:szCs w:val="20"/>
          <w:color w:val="auto"/>
        </w:rPr>
      </w:pPr>
      <w:r>
        <w:rPr>
          <w:rFonts w:ascii="Times New Roman" w:cs="Times New Roman" w:eastAsia="Times New Roman" w:hAnsi="Times New Roman"/>
          <w:sz w:val="18"/>
          <w:szCs w:val="18"/>
          <w:color w:val="auto"/>
        </w:rPr>
        <w:t>Unless otherwise instructed, it is the intention of the persons named in the accompanying proxy card to vote shares represented by properly executed proxy cards for the election of Mr. Morgan, Dr. Dissanaike, Ms. Rodriguez and Messrs. Collard, Johnson, Kotler and Waage.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PROPOSAL 2 - RATIFICATION OF INDEPENDENT REGISTERED PUBLIC ACCOUNTING FIRM</w:t>
      </w:r>
    </w:p>
    <w:p>
      <w:pPr>
        <w:spacing w:after="0" w:line="229" w:lineRule="exact"/>
        <w:rPr>
          <w:sz w:val="20"/>
          <w:szCs w:val="20"/>
          <w:color w:val="auto"/>
        </w:rPr>
      </w:pPr>
    </w:p>
    <w:p>
      <w:pPr>
        <w:ind w:left="300" w:right="399" w:firstLine="583"/>
        <w:spacing w:after="0" w:line="254" w:lineRule="auto"/>
        <w:rPr>
          <w:sz w:val="20"/>
          <w:szCs w:val="20"/>
          <w:color w:val="auto"/>
        </w:rPr>
      </w:pPr>
      <w:r>
        <w:rPr>
          <w:rFonts w:ascii="Times New Roman" w:cs="Times New Roman" w:eastAsia="Times New Roman" w:hAnsi="Times New Roman"/>
          <w:sz w:val="18"/>
          <w:szCs w:val="18"/>
          <w:color w:val="auto"/>
        </w:rPr>
        <w:t>Our Audit Committee has selected Withum Smith+Brown, PC as our independent registered public accounting firm for the year ending December 31, 2023. At the Annual Meeting, the stockholders will vote to ratify the appointment of Withum Smith+Brown, PC as our independent registered public accounting firm for the year ending December 31, 2023. Withum Smith+Brown, PC has audited our financial statements since August 2021, shortly after its acquisition of certain assets of OUM &amp; Co. LLP, our independent registered accounting firm from 2006 through August 2021. Representatives of Withum Smith+Brown, PC are expected to be present online at the Annual Meeting and will have the opportunity to make statements if they desire to do so. Such representatives are also expected to be available to respond to appropriate questions.</w:t>
      </w:r>
    </w:p>
    <w:p>
      <w:pPr>
        <w:spacing w:after="0" w:line="192" w:lineRule="exact"/>
        <w:rPr>
          <w:sz w:val="20"/>
          <w:szCs w:val="20"/>
          <w:color w:val="auto"/>
        </w:rPr>
      </w:pPr>
    </w:p>
    <w:p>
      <w:pPr>
        <w:ind w:left="300" w:right="319" w:firstLine="583"/>
        <w:spacing w:after="0" w:line="255" w:lineRule="auto"/>
        <w:rPr>
          <w:sz w:val="20"/>
          <w:szCs w:val="20"/>
          <w:color w:val="auto"/>
        </w:rPr>
      </w:pPr>
      <w:r>
        <w:rPr>
          <w:rFonts w:ascii="Times New Roman" w:cs="Times New Roman" w:eastAsia="Times New Roman" w:hAnsi="Times New Roman"/>
          <w:sz w:val="18"/>
          <w:szCs w:val="18"/>
          <w:color w:val="auto"/>
        </w:rPr>
        <w:t>Stockholder ratification of the appointment of Withum Smith+Brown, PC as our independent registered public accounting firm is not required by law or our bylaws. However, our Audit Committee is submitting the appointment of Withum Smith+Brown, PC to the stockholders for ratification as a matter of good corporate practice. In the event our stockholders fail to ratify the appointment, our Audit Committee will reconsider its selection. Even if the appointment is ratified, our Audit Committee, in its discretion, may direct the appointment of a different independent registered public accounting firm at any time during the year if they determine that such a change would be in the best interests of the Company and our stockholders.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9" w:lineRule="exact"/>
        <w:rPr>
          <w:sz w:val="20"/>
          <w:szCs w:val="20"/>
          <w:color w:val="auto"/>
        </w:rPr>
      </w:pPr>
    </w:p>
    <w:p>
      <w:pPr>
        <w:ind w:left="300" w:right="399" w:firstLine="583"/>
        <w:spacing w:after="0" w:line="253" w:lineRule="auto"/>
        <w:rPr>
          <w:sz w:val="20"/>
          <w:szCs w:val="20"/>
          <w:color w:val="auto"/>
        </w:rPr>
      </w:pPr>
      <w:r>
        <w:rPr>
          <w:rFonts w:ascii="Times New Roman" w:cs="Times New Roman" w:eastAsia="Times New Roman" w:hAnsi="Times New Roman"/>
          <w:sz w:val="18"/>
          <w:szCs w:val="18"/>
          <w:color w:val="auto"/>
        </w:rPr>
        <w:t>The proposal to ratify the appointment of Withum Smith+Brown, PC as our independent registered public accounting firm for the year ending December 31, 2023 requires the affirmative vote of a majority of the votes properly cast, provided a quorum is established. We have been advised by the NYSE that the ratification of the selection of a company’s independent registered public accounting firm is considered a “routine” matter under NYSE rules. Therefore, if you are a beneficial owner and do not provide specific voting instructions to your broker, bank or other agent, the institution that holds your shares may have discretionary authority to vote your shares with respect to this proposal. Accordingly, assuming this proposal is deemed to be a “routine” matter under NYSE rules as we have been advised by the NYSE, abstentions will have no effect on the outcome of this proposal and we do not expect any broker non-votes since we expect brokers, banks or other agents to have discretionary authority to vote on this proposal.</w:t>
      </w:r>
    </w:p>
    <w:p>
      <w:pPr>
        <w:spacing w:after="0" w:line="190"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Withum Smith+Brown, PC as our independent registered public accounting firm for the year ending December 31, 2023.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 ADVISORY VOTE TO APPROVE EXECUTIVE COMPENSATION</w:t>
      </w:r>
    </w:p>
    <w:p>
      <w:pPr>
        <w:spacing w:after="0" w:line="229" w:lineRule="exact"/>
        <w:rPr>
          <w:sz w:val="20"/>
          <w:szCs w:val="20"/>
          <w:color w:val="auto"/>
        </w:rPr>
      </w:pPr>
    </w:p>
    <w:p>
      <w:pPr>
        <w:ind w:left="300" w:right="359" w:firstLine="441"/>
        <w:spacing w:after="0" w:line="256" w:lineRule="auto"/>
        <w:rPr>
          <w:sz w:val="20"/>
          <w:szCs w:val="20"/>
          <w:color w:val="auto"/>
        </w:rPr>
      </w:pPr>
      <w:r>
        <w:rPr>
          <w:rFonts w:ascii="Times New Roman" w:cs="Times New Roman" w:eastAsia="Times New Roman" w:hAnsi="Times New Roman"/>
          <w:sz w:val="18"/>
          <w:szCs w:val="18"/>
          <w:color w:val="auto"/>
        </w:rPr>
        <w:t>At the Annual Meeting, our stockholders will vote, on a non-binding, advisory basis, to approve the Company’s executive compensation in accordance with Section 14A of the Exchange Act, or the “say-on-pay” vote. The say-on-pay vote is an advisory vote on the compensation of our Named Executive Officers, as such compensation is disclosed pursuant to Item 402 of Regulation S-K in this Proxy Statement. The say-on-pay vote is not a vote on the Company’s general compensation policies, compensation of our Board or the Company’s compensation policies as they relate to risk management.</w:t>
      </w:r>
    </w:p>
    <w:p>
      <w:pPr>
        <w:spacing w:after="0" w:line="187" w:lineRule="exact"/>
        <w:rPr>
          <w:sz w:val="20"/>
          <w:szCs w:val="20"/>
          <w:color w:val="auto"/>
        </w:rPr>
      </w:pPr>
    </w:p>
    <w:p>
      <w:pPr>
        <w:ind w:left="300" w:right="339" w:firstLine="441"/>
        <w:spacing w:after="0" w:line="255" w:lineRule="auto"/>
        <w:rPr>
          <w:sz w:val="20"/>
          <w:szCs w:val="20"/>
          <w:color w:val="auto"/>
        </w:rPr>
      </w:pPr>
      <w:r>
        <w:rPr>
          <w:rFonts w:ascii="Times New Roman" w:cs="Times New Roman" w:eastAsia="Times New Roman" w:hAnsi="Times New Roman"/>
          <w:sz w:val="18"/>
          <w:szCs w:val="18"/>
          <w:color w:val="auto"/>
        </w:rPr>
        <w:t>We conducted our first say-on-pay vote at our 2013 Annual Meeting of Stockholders. At that meeting, we also conducted our first say-on-frequency vote with respect to whether future say-on-pay votes would be held every one, two or three years. At our 2019 Annual Meeting of Stockholders, we conducted our second say-on-frequency vote with respect to whether future say-on-pay votes would be held every one, two or three years. At each of the 2013 and 2019 Annual Meetings of Stockholders, a plurality of the votes cast selected one year as the frequency period. Accordingly, we are conducting a say-on-pay vote at the 2023 Annual Meeting of Stockholders and we expect that our next say-on-pay vote will occur at the 2024 Annual Meeting of Stockholders.</w:t>
      </w:r>
    </w:p>
    <w:p>
      <w:pPr>
        <w:spacing w:after="0" w:line="189" w:lineRule="exact"/>
        <w:rPr>
          <w:sz w:val="20"/>
          <w:szCs w:val="20"/>
          <w:color w:val="auto"/>
        </w:rPr>
      </w:pPr>
    </w:p>
    <w:p>
      <w:pPr>
        <w:ind w:left="300" w:right="619" w:firstLine="441"/>
        <w:spacing w:after="0" w:line="266" w:lineRule="auto"/>
        <w:rPr>
          <w:sz w:val="20"/>
          <w:szCs w:val="20"/>
          <w:color w:val="auto"/>
        </w:rPr>
      </w:pPr>
      <w:r>
        <w:rPr>
          <w:rFonts w:ascii="Times New Roman" w:cs="Times New Roman" w:eastAsia="Times New Roman" w:hAnsi="Times New Roman"/>
          <w:sz w:val="18"/>
          <w:szCs w:val="18"/>
          <w:color w:val="auto"/>
        </w:rPr>
        <w:t>The compensation paid to our Named Executive Officers is described in the compensation tables and the related narrative disclosure contained in this Proxy Statement. Pursuant to Section 14A of the Exchange Act, our Board is asking stockholders to cast a non-binding advisory vote “FOR” the following resolution:</w:t>
      </w:r>
    </w:p>
    <w:p>
      <w:pPr>
        <w:spacing w:after="0" w:line="176" w:lineRule="exact"/>
        <w:rPr>
          <w:sz w:val="20"/>
          <w:szCs w:val="20"/>
          <w:color w:val="auto"/>
        </w:rPr>
      </w:pPr>
    </w:p>
    <w:p>
      <w:pPr>
        <w:ind w:left="300" w:right="379" w:firstLine="441"/>
        <w:spacing w:after="0" w:line="289" w:lineRule="auto"/>
        <w:rPr>
          <w:sz w:val="20"/>
          <w:szCs w:val="20"/>
          <w:color w:val="auto"/>
        </w:rPr>
      </w:pPr>
      <w:r>
        <w:rPr>
          <w:rFonts w:ascii="Times New Roman" w:cs="Times New Roman" w:eastAsia="Times New Roman" w:hAnsi="Times New Roman"/>
          <w:sz w:val="17"/>
          <w:szCs w:val="17"/>
          <w:color w:val="auto"/>
        </w:rPr>
        <w:t>“RESOLVED, that the compensation paid to the Company’s Named Executive Officers, as described in the tabular disclosure regarding such compensation and the accompanying narrative disclosure, in each case as set forth in the Company’s definitive Proxy Statement for the 2023 Annual Meeting of Stockholders, is hereby approved.”</w:t>
      </w:r>
    </w:p>
    <w:p>
      <w:pPr>
        <w:spacing w:after="0" w:line="158" w:lineRule="exact"/>
        <w:rPr>
          <w:sz w:val="20"/>
          <w:szCs w:val="20"/>
          <w:color w:val="auto"/>
        </w:rPr>
      </w:pPr>
    </w:p>
    <w:p>
      <w:pPr>
        <w:jc w:val="both"/>
        <w:ind w:left="300" w:right="819" w:firstLine="441"/>
        <w:spacing w:after="0" w:line="312" w:lineRule="auto"/>
        <w:rPr>
          <w:sz w:val="20"/>
          <w:szCs w:val="20"/>
          <w:color w:val="auto"/>
        </w:rPr>
      </w:pPr>
      <w:r>
        <w:rPr>
          <w:rFonts w:ascii="Times New Roman" w:cs="Times New Roman" w:eastAsia="Times New Roman" w:hAnsi="Times New Roman"/>
          <w:sz w:val="17"/>
          <w:szCs w:val="17"/>
          <w:color w:val="auto"/>
        </w:rPr>
        <w:t>Although this vote is non-binding, our Board values the views of our stockholders and will consider the outcome of the vote when determining future compensation arrangements for our Named Executive Officers.</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9" w:lineRule="exact"/>
        <w:rPr>
          <w:sz w:val="20"/>
          <w:szCs w:val="20"/>
          <w:color w:val="auto"/>
        </w:rPr>
      </w:pPr>
    </w:p>
    <w:p>
      <w:pPr>
        <w:ind w:left="300" w:right="339" w:firstLine="441"/>
        <w:spacing w:after="0" w:line="254" w:lineRule="auto"/>
        <w:rPr>
          <w:sz w:val="20"/>
          <w:szCs w:val="20"/>
          <w:color w:val="auto"/>
        </w:rPr>
      </w:pPr>
      <w:r>
        <w:rPr>
          <w:rFonts w:ascii="Times New Roman" w:cs="Times New Roman" w:eastAsia="Times New Roman" w:hAnsi="Times New Roman"/>
          <w:sz w:val="18"/>
          <w:szCs w:val="18"/>
          <w:color w:val="auto"/>
        </w:rPr>
        <w:t>The proposal to approve, on an advisory basis, the compensation paid to our Named Executive Officers requires the affirmative vote of a majority of the votes properly cast, provided a quorum is established. We have been advised by the NYSE that approval, on an advisory basis, of the compensation paid to a company’s named executive officers is considered a “non-routine” matter under NYSE rules. Therefore, if you are a beneficial owner and do not give your broker, bank or other agent voting instructions, the institution that holds your shares may not have discretionary authority to vote your shares with respect to this proposal. Accordingly, assuming this proposal is deemed to be a “non-routine” matter under NYSE rules as we have been advised by the NYSE, abstentions and broker non-votes will have no effect on the outcome of this proposal.</w:t>
      </w:r>
    </w:p>
    <w:p>
      <w:pPr>
        <w:spacing w:after="0" w:line="188" w:lineRule="exact"/>
        <w:rPr>
          <w:sz w:val="20"/>
          <w:szCs w:val="20"/>
          <w:color w:val="auto"/>
        </w:rPr>
      </w:pPr>
    </w:p>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compensation paid to our Named Executive Officers for the year ended December 31, 2022.</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4" w:name="page45"/>
    <w:bookmarkEnd w:id="44"/>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PROPOSAL 4 - AMENDMENT OF CERTIFICATE OF INCORPORATION TO INCREASE THE AGGREGATE NUMBER OF AUTHORIZED SHARES OF COMMON STOCK BY 75,000,000 FROM 150,000,000 TO 225,000,000</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300" w:right="579" w:firstLine="441"/>
        <w:spacing w:after="0" w:line="261" w:lineRule="auto"/>
        <w:rPr>
          <w:sz w:val="20"/>
          <w:szCs w:val="20"/>
          <w:color w:val="auto"/>
        </w:rPr>
      </w:pPr>
      <w:r>
        <w:rPr>
          <w:rFonts w:ascii="Times New Roman" w:cs="Times New Roman" w:eastAsia="Times New Roman" w:hAnsi="Times New Roman"/>
          <w:sz w:val="18"/>
          <w:szCs w:val="18"/>
          <w:color w:val="auto"/>
        </w:rPr>
        <w:t>Our Board has approved, subject to stockholder approval, an amendment to the Company’s Certificate of Incorporation to increase the aggregate number of shares of common stock, par value $0.01 per share, that the Company is authorized to issue from 150,000,000 to 225,000,000, which would also increase the total number of authorized shares of capital stock from 152,500,000 to 227,500,000.</w:t>
      </w:r>
    </w:p>
    <w:p>
      <w:pPr>
        <w:spacing w:after="0" w:line="180" w:lineRule="exact"/>
        <w:rPr>
          <w:sz w:val="20"/>
          <w:szCs w:val="20"/>
          <w:color w:val="auto"/>
        </w:rPr>
      </w:pPr>
    </w:p>
    <w:p>
      <w:pPr>
        <w:ind w:left="300" w:right="499" w:firstLine="441"/>
        <w:spacing w:after="0" w:line="258" w:lineRule="auto"/>
        <w:rPr>
          <w:sz w:val="20"/>
          <w:szCs w:val="20"/>
          <w:color w:val="auto"/>
        </w:rPr>
      </w:pPr>
      <w:r>
        <w:rPr>
          <w:rFonts w:ascii="Times New Roman" w:cs="Times New Roman" w:eastAsia="Times New Roman" w:hAnsi="Times New Roman"/>
          <w:sz w:val="18"/>
          <w:szCs w:val="18"/>
          <w:color w:val="auto"/>
        </w:rPr>
        <w:t>If our shareholders approve this Proposal 4, we expect to file a certificate of amendment with the Delaware Secretary of State to increase the number of authorized shares of our common stock and capital stock as soon as practicable following stockholder approval. On filing of the certificate of amendment with the Delaware Secretary of State, Section A of Article IV of the Company’s Certificate of Incorporation will be amended and restated in its entirety as follows:</w:t>
      </w:r>
    </w:p>
    <w:p>
      <w:pPr>
        <w:spacing w:after="0" w:line="183" w:lineRule="exact"/>
        <w:rPr>
          <w:sz w:val="20"/>
          <w:szCs w:val="20"/>
          <w:color w:val="auto"/>
        </w:rPr>
      </w:pPr>
    </w:p>
    <w:p>
      <w:pPr>
        <w:ind w:left="300" w:right="659" w:firstLine="441"/>
        <w:spacing w:after="0" w:line="255" w:lineRule="auto"/>
        <w:rPr>
          <w:sz w:val="20"/>
          <w:szCs w:val="20"/>
          <w:color w:val="auto"/>
        </w:rPr>
      </w:pPr>
      <w:r>
        <w:rPr>
          <w:rFonts w:ascii="Times New Roman" w:cs="Times New Roman" w:eastAsia="Times New Roman" w:hAnsi="Times New Roman"/>
          <w:sz w:val="18"/>
          <w:szCs w:val="18"/>
          <w:color w:val="auto"/>
        </w:rPr>
        <w:t>“A. Authorized Capital. The corporation is authorized to issue two classes of shares of stock to be designated, respectively, “preferred” and “common.” The total number of shares that the corporation is authorized to issue is Two Hundred Twenty-Seven Million Five Hundred Thousand (227,500,000). The number of shares of common stock authorized to be issued is Two Hundred Twenty-Five Million (225,000,000), each such share to have a par value of $0.01 (“Common Stock”), and the number of preferred shares authorized to be issued is Two Million Five Hundred Thousand (2,500,000), each such share to have a par value of $0.01 (“Preferred Stock”).”</w:t>
      </w:r>
    </w:p>
    <w:p>
      <w:pPr>
        <w:spacing w:after="0" w:line="185" w:lineRule="exact"/>
        <w:rPr>
          <w:sz w:val="20"/>
          <w:szCs w:val="20"/>
          <w:color w:val="auto"/>
        </w:rPr>
      </w:pPr>
    </w:p>
    <w:p>
      <w:pPr>
        <w:ind w:left="300" w:right="299" w:firstLine="441"/>
        <w:spacing w:after="0" w:line="252" w:lineRule="auto"/>
        <w:rPr>
          <w:sz w:val="20"/>
          <w:szCs w:val="20"/>
          <w:color w:val="auto"/>
        </w:rPr>
      </w:pPr>
      <w:r>
        <w:rPr>
          <w:rFonts w:ascii="Times New Roman" w:cs="Times New Roman" w:eastAsia="Times New Roman" w:hAnsi="Times New Roman"/>
          <w:sz w:val="18"/>
          <w:szCs w:val="18"/>
          <w:color w:val="auto"/>
        </w:rPr>
        <w:t>At our 2022 Annual Meeting of Stockholders (the “</w:t>
      </w:r>
      <w:r>
        <w:rPr>
          <w:rFonts w:ascii="Times New Roman" w:cs="Times New Roman" w:eastAsia="Times New Roman" w:hAnsi="Times New Roman"/>
          <w:sz w:val="18"/>
          <w:szCs w:val="18"/>
          <w:b w:val="1"/>
          <w:bCs w:val="1"/>
          <w:i w:val="1"/>
          <w:iCs w:val="1"/>
          <w:color w:val="auto"/>
        </w:rPr>
        <w:t>2022 Annual Meeting</w:t>
      </w:r>
      <w:r>
        <w:rPr>
          <w:rFonts w:ascii="Times New Roman" w:cs="Times New Roman" w:eastAsia="Times New Roman" w:hAnsi="Times New Roman"/>
          <w:sz w:val="18"/>
          <w:szCs w:val="18"/>
          <w:color w:val="auto"/>
        </w:rPr>
        <w:t>”), we presented a proposal to amend the Company’s Certificate of Incorporation to increase the authorized common stock by 100,000,000 shares (the “</w:t>
      </w:r>
      <w:r>
        <w:rPr>
          <w:rFonts w:ascii="Times New Roman" w:cs="Times New Roman" w:eastAsia="Times New Roman" w:hAnsi="Times New Roman"/>
          <w:sz w:val="18"/>
          <w:szCs w:val="18"/>
          <w:b w:val="1"/>
          <w:bCs w:val="1"/>
          <w:i w:val="1"/>
          <w:iCs w:val="1"/>
          <w:color w:val="auto"/>
        </w:rPr>
        <w:t>2022 Annual Meeting Authorized Shares Proposal</w:t>
      </w:r>
      <w:r>
        <w:rPr>
          <w:rFonts w:ascii="Times New Roman" w:cs="Times New Roman" w:eastAsia="Times New Roman" w:hAnsi="Times New Roman"/>
          <w:sz w:val="18"/>
          <w:szCs w:val="18"/>
          <w:color w:val="auto"/>
        </w:rPr>
        <w:t>”). The 2022 Annual Meeting Authorized Shares Proposal was approved by 74.4% of our stockholders. The definitive proxy statement for the 2022 Annual Meeting (the “</w:t>
      </w:r>
      <w:r>
        <w:rPr>
          <w:rFonts w:ascii="Times New Roman" w:cs="Times New Roman" w:eastAsia="Times New Roman" w:hAnsi="Times New Roman"/>
          <w:sz w:val="18"/>
          <w:szCs w:val="18"/>
          <w:b w:val="1"/>
          <w:bCs w:val="1"/>
          <w:i w:val="1"/>
          <w:iCs w:val="1"/>
          <w:color w:val="auto"/>
        </w:rPr>
        <w:t>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Annual Meeting Proxy Statement</w:t>
      </w:r>
      <w:r>
        <w:rPr>
          <w:rFonts w:ascii="Times New Roman" w:cs="Times New Roman" w:eastAsia="Times New Roman" w:hAnsi="Times New Roman"/>
          <w:sz w:val="18"/>
          <w:szCs w:val="18"/>
          <w:color w:val="auto"/>
        </w:rPr>
        <w:t>”) indicated that the 2022 Annual Meeting Authorized Shares Proposal would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“routine” under NYSE rules, which regulate how member brokerage firms are permitted to vote in the absence of instructions from beneficial owners, and, accordingly, that no broker votes would be submitted on that proposal. However, Broadridge (acting as an agent for NYSE-registered brokerage firms and interpreting NYSE rules) determined the 2022 Annual Meeting Authorized Shares Proposal to be “routine” after the 2022 Annual Meeting Proxy Statement was mailed to stockholders, and as a result, brokers, banks and other agents submitted votes on the 2022 Annual Meeting Authorized Shares Proposal. As a result of the conflict between the “non-routine” expectations set forth in the 2022 Annual Meeting Proxy Statement and the determination from Broadridge, there is uncertainty as to whether the stockholder vote from the 2022 Annual Meeting in favor of the amendment of the Company’s Certificate of Incorporation is valid under applicable laws and regulations. Accordingly, the Company voided the certificate of amendment that would have increased the aggregate number of authorized shares of common stock by 100,000,000 and is now presenting an alternate proposal to increase the aggregate number of authorized shares of common stock by 75,000,000. The Company decreased the size of the proposed increase in the authorized number of shares of common stock based on stockholder feedback received during the solicitation prior to the 2022 Annual Meeting.</w:t>
      </w:r>
    </w:p>
    <w:p>
      <w:pPr>
        <w:spacing w:after="0" w:line="195" w:lineRule="exact"/>
        <w:rPr>
          <w:sz w:val="20"/>
          <w:szCs w:val="20"/>
          <w:color w:val="auto"/>
        </w:rPr>
      </w:pPr>
    </w:p>
    <w:p>
      <w:pPr>
        <w:ind w:left="300" w:right="359" w:firstLine="441"/>
        <w:spacing w:after="0" w:line="261" w:lineRule="auto"/>
        <w:rPr>
          <w:sz w:val="20"/>
          <w:szCs w:val="20"/>
          <w:color w:val="auto"/>
        </w:rPr>
      </w:pPr>
      <w:r>
        <w:rPr>
          <w:rFonts w:ascii="Times New Roman" w:cs="Times New Roman" w:eastAsia="Times New Roman" w:hAnsi="Times New Roman"/>
          <w:sz w:val="18"/>
          <w:szCs w:val="18"/>
          <w:color w:val="auto"/>
        </w:rPr>
        <w:t xml:space="preserve">Given our currently issued and outstanding shares and shares reserved for future issuance, we effectively have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available unissued and unreserved authorized shares to meet the needs of our business. Accordingly, if we are unable to obtain approval of this Proposal 4, our business and our future prospects could be severely and irreparably harmed.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Amendment</w:t>
      </w:r>
    </w:p>
    <w:p>
      <w:pPr>
        <w:spacing w:after="0" w:line="229" w:lineRule="exact"/>
        <w:rPr>
          <w:sz w:val="20"/>
          <w:szCs w:val="20"/>
          <w:color w:val="auto"/>
        </w:rPr>
      </w:pPr>
    </w:p>
    <w:p>
      <w:pPr>
        <w:jc w:val="both"/>
        <w:ind w:left="300" w:right="319" w:firstLine="441"/>
        <w:spacing w:after="0" w:line="261" w:lineRule="auto"/>
        <w:rPr>
          <w:sz w:val="20"/>
          <w:szCs w:val="20"/>
          <w:color w:val="auto"/>
        </w:rPr>
      </w:pPr>
      <w:r>
        <w:rPr>
          <w:rFonts w:ascii="Times New Roman" w:cs="Times New Roman" w:eastAsia="Times New Roman" w:hAnsi="Times New Roman"/>
          <w:sz w:val="18"/>
          <w:szCs w:val="18"/>
          <w:color w:val="auto"/>
        </w:rPr>
        <w:t>The purpose of the amendment is to provide us greater flexibility with respect to managing our common stock in connection with such corporate purposes as may be considered advisable by our Board. These corporate purposes could include, without limitation: the issuance of shares in connection with equity or convertible debt financings; the issuance of shares in connection with acquisitions; the issuance of shares on exercise of options or other awards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ind w:left="300" w:right="439"/>
        <w:spacing w:after="0" w:line="256" w:lineRule="auto"/>
        <w:rPr>
          <w:sz w:val="20"/>
          <w:szCs w:val="20"/>
          <w:color w:val="auto"/>
        </w:rPr>
      </w:pPr>
      <w:r>
        <w:rPr>
          <w:rFonts w:ascii="Times New Roman" w:cs="Times New Roman" w:eastAsia="Times New Roman" w:hAnsi="Times New Roman"/>
          <w:sz w:val="18"/>
          <w:szCs w:val="18"/>
          <w:color w:val="auto"/>
        </w:rPr>
        <w:t>granted under our various equity compensation plans or in connection with other employee benefit plans; and other general corporate purposes. We do not have any current plan, commitment, arrangement, understanding, or agreement, either oral or written, regarding the issuance of shares of common stock in connection with acquisitions or pursuant to an equity financing outside of the exercise of options under our existing equity compensation plans, and we have not allocated any specific portion of the proposed increase in the authorized number of shares of common stock to any particular purpose.</w:t>
      </w:r>
    </w:p>
    <w:p>
      <w:pPr>
        <w:spacing w:after="0" w:line="187" w:lineRule="exact"/>
        <w:rPr>
          <w:sz w:val="20"/>
          <w:szCs w:val="20"/>
          <w:color w:val="auto"/>
        </w:rPr>
      </w:pPr>
    </w:p>
    <w:p>
      <w:pPr>
        <w:jc w:val="both"/>
        <w:ind w:left="300" w:right="359" w:firstLine="441"/>
        <w:spacing w:after="0" w:line="272" w:lineRule="auto"/>
        <w:rPr>
          <w:sz w:val="20"/>
          <w:szCs w:val="20"/>
          <w:color w:val="auto"/>
        </w:rPr>
      </w:pPr>
      <w:r>
        <w:rPr>
          <w:rFonts w:ascii="Times New Roman" w:cs="Times New Roman" w:eastAsia="Times New Roman" w:hAnsi="Times New Roman"/>
          <w:sz w:val="17"/>
          <w:szCs w:val="17"/>
          <w:color w:val="auto"/>
        </w:rPr>
        <w:t>Over the past several years, our authorized common stock has allowed us the flexibility to pursue a number of financing transactions that were key to support the advancement of our business, while at the same time enabling us to continue to provide the employee equity incentives that we deem necessary to attract and retain key employees.</w:t>
      </w:r>
    </w:p>
    <w:p>
      <w:pPr>
        <w:spacing w:after="0" w:line="2" w:lineRule="exact"/>
        <w:rPr>
          <w:sz w:val="20"/>
          <w:szCs w:val="20"/>
          <w:color w:val="auto"/>
        </w:rPr>
      </w:pPr>
    </w:p>
    <w:p>
      <w:pPr>
        <w:ind w:left="300" w:right="379"/>
        <w:spacing w:after="0" w:line="273" w:lineRule="auto"/>
        <w:rPr>
          <w:sz w:val="20"/>
          <w:szCs w:val="20"/>
          <w:color w:val="auto"/>
        </w:rPr>
      </w:pPr>
      <w:r>
        <w:rPr>
          <w:rFonts w:ascii="Times New Roman" w:cs="Times New Roman" w:eastAsia="Times New Roman" w:hAnsi="Times New Roman"/>
          <w:sz w:val="17"/>
          <w:szCs w:val="17"/>
          <w:color w:val="auto"/>
        </w:rPr>
        <w:t xml:space="preserve">Unless our stockholders approve this proposal, we will effectively not have </w:t>
      </w:r>
      <w:r>
        <w:rPr>
          <w:rFonts w:ascii="Times New Roman" w:cs="Times New Roman" w:eastAsia="Times New Roman" w:hAnsi="Times New Roman"/>
          <w:sz w:val="17"/>
          <w:szCs w:val="17"/>
          <w:i w:val="1"/>
          <w:iCs w:val="1"/>
          <w:color w:val="auto"/>
        </w:rPr>
        <w:t>any</w:t>
      </w:r>
      <w:r>
        <w:rPr>
          <w:rFonts w:ascii="Times New Roman" w:cs="Times New Roman" w:eastAsia="Times New Roman" w:hAnsi="Times New Roman"/>
          <w:sz w:val="17"/>
          <w:szCs w:val="17"/>
          <w:color w:val="auto"/>
        </w:rPr>
        <w:t xml:space="preserve"> unissued and unreserved authorized shares of common stock to support the growth needed to conduct the activities necessary to engage in financing transactions, as well as to respond to compensatory needs by implementing new or revised equity compensation plans or arrangements, all of which could severely and irreparably harm our business and our future prospects.</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Effect of the Amendment</w:t>
      </w:r>
    </w:p>
    <w:p>
      <w:pPr>
        <w:spacing w:after="0" w:line="229" w:lineRule="exact"/>
        <w:rPr>
          <w:sz w:val="20"/>
          <w:szCs w:val="20"/>
          <w:color w:val="auto"/>
        </w:rPr>
      </w:pPr>
    </w:p>
    <w:p>
      <w:pPr>
        <w:ind w:left="300" w:right="339" w:firstLine="441"/>
        <w:spacing w:after="0" w:line="253" w:lineRule="auto"/>
        <w:rPr>
          <w:sz w:val="20"/>
          <w:szCs w:val="20"/>
          <w:color w:val="auto"/>
        </w:rPr>
      </w:pPr>
      <w:r>
        <w:rPr>
          <w:rFonts w:ascii="Times New Roman" w:cs="Times New Roman" w:eastAsia="Times New Roman" w:hAnsi="Times New Roman"/>
          <w:sz w:val="18"/>
          <w:szCs w:val="18"/>
          <w:color w:val="auto"/>
        </w:rPr>
        <w:t>The total number of shares of common stock and capital stock authorized by the amendment is consistent with the number of shares authorized by other commercial-stage biotechnology companies of a similar size. The increase in authorized shares will not have any immediate effect on the rights of existing stockholders. However, our Board may issue authorized shares without requiring future stockholder approval of such issuances, except as may be required by the Certificate of Incorporation, as amended, and applicable law and regulations. To the extent that the additional authorized shares are issued in the future other than in connection with a stock dividend, they will decrease the existing stockholders’ percentage equity ownership and, depending on the price at which they are issued as compared to the price paid by existing stockholders for their shares, could be dilutive to our existing stockholders. The holders of common stock have no preemptive rights to subscribe for or purchase any additional shares of common stock that may be issued in the future.</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9" w:lineRule="exact"/>
        <w:rPr>
          <w:sz w:val="20"/>
          <w:szCs w:val="20"/>
          <w:color w:val="auto"/>
        </w:rPr>
      </w:pPr>
    </w:p>
    <w:p>
      <w:pPr>
        <w:ind w:left="300" w:right="319" w:firstLine="441"/>
        <w:spacing w:after="0" w:line="252" w:lineRule="auto"/>
        <w:rPr>
          <w:sz w:val="20"/>
          <w:szCs w:val="20"/>
          <w:color w:val="auto"/>
        </w:rPr>
      </w:pPr>
      <w:r>
        <w:rPr>
          <w:rFonts w:ascii="Times New Roman" w:cs="Times New Roman" w:eastAsia="Times New Roman" w:hAnsi="Times New Roman"/>
          <w:sz w:val="18"/>
          <w:szCs w:val="18"/>
          <w:color w:val="auto"/>
        </w:rPr>
        <w:t>The proposal to approve an amendment to our Certificate of Incorporation to increase the aggregate number of authorized shares of common stock by 75,000,000 from 150,000,000 to 225,000,000 requires the affirmative vote of a majority of the outstanding shares of common stock entitled to vote, provided a quorum is established. We have been advised by the NYSE that the proposal to approve this amendment of our Certificate of Incorporation will be considered a “non-routine” matter under NYSE rules. While similar proposals are typically considered “routine” matters under NYSE rules, we have been advised by the NYSE that this proposal will be considered a “non-routine” matter under NYSE rules given our current lack of sufficient unissued and unreserved shares of common stock to effect the proposed share increase under our 2007 Plan as described in Proposal 5 (NYSE has further advised us that Proposal 5 will also be considered a “non-routine” matter). Accordingly, we expect broker non-votes to exist with respect to this proposal. Therefore, if you are a beneficial owner and do not provide specific voting instructions to your broker, bank or other agent, the institution that holds your shares may not have discretionary authority to vote your shares with respect to this proposal. Accordingly, assuming this proposal is deemed to be a “non-routine” matter under NYSE rules as we have been advised by the NYSE, abstentions will have the same effect as a vote cast “against” this proposal and broker non-votes will have no effect on the outcome of this proposal.</w:t>
      </w:r>
    </w:p>
    <w:p>
      <w:pPr>
        <w:spacing w:after="0" w:line="193" w:lineRule="exact"/>
        <w:rPr>
          <w:sz w:val="20"/>
          <w:szCs w:val="20"/>
          <w:color w:val="auto"/>
        </w:rPr>
      </w:pPr>
    </w:p>
    <w:p>
      <w:pPr>
        <w:ind w:left="700" w:right="519" w:hanging="23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amendment of our Certificate of Incorporation to increase the aggregate number of authorized shares by 75,000,000 from 150,000,000 to 225,000,000.</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PROPOSAL 5 — AMENDMENT OF OUR 2007 PLAN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left="300" w:right="439" w:firstLine="441"/>
        <w:spacing w:after="0" w:line="312" w:lineRule="auto"/>
        <w:rPr>
          <w:sz w:val="20"/>
          <w:szCs w:val="20"/>
          <w:color w:val="auto"/>
        </w:rPr>
      </w:pPr>
      <w:r>
        <w:rPr>
          <w:rFonts w:ascii="Times New Roman" w:cs="Times New Roman" w:eastAsia="Times New Roman" w:hAnsi="Times New Roman"/>
          <w:sz w:val="17"/>
          <w:szCs w:val="17"/>
          <w:color w:val="auto"/>
        </w:rPr>
        <w:t>At the Annual Meeting, stockholders are being asked to vote to approve an amendment to our 2007 Plan to increase the number of shares of common stock authorized for issuance thereunder from 30,700,000 to 39,190,000.</w:t>
      </w:r>
    </w:p>
    <w:p>
      <w:pPr>
        <w:spacing w:after="0" w:line="113" w:lineRule="exact"/>
        <w:rPr>
          <w:sz w:val="20"/>
          <w:szCs w:val="20"/>
          <w:color w:val="auto"/>
        </w:rPr>
      </w:pPr>
    </w:p>
    <w:p>
      <w:pPr>
        <w:ind w:left="300" w:right="379" w:firstLine="441"/>
        <w:spacing w:after="0" w:line="261" w:lineRule="auto"/>
        <w:rPr>
          <w:sz w:val="20"/>
          <w:szCs w:val="20"/>
          <w:color w:val="auto"/>
        </w:rPr>
      </w:pPr>
      <w:r>
        <w:rPr>
          <w:rFonts w:ascii="Times New Roman" w:cs="Times New Roman" w:eastAsia="Times New Roman" w:hAnsi="Times New Roman"/>
          <w:sz w:val="18"/>
          <w:szCs w:val="18"/>
          <w:color w:val="auto"/>
        </w:rPr>
        <w:t>Our 2007 Plan provides long-term equity incentives to our employees, consultants and directors in order to encourage such award recipients to act in the stockholders’ interest and share in the Company’s future success. Subject to stockholder approval, our Board has approved the amendment to the 2007 Plan to increase the number of shares of common stock available for future grant thereunder by 8,490,000.</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Seeking the Share Increase</w:t>
      </w:r>
    </w:p>
    <w:p>
      <w:pPr>
        <w:spacing w:after="0" w:line="189" w:lineRule="exact"/>
        <w:rPr>
          <w:sz w:val="20"/>
          <w:szCs w:val="20"/>
          <w:color w:val="auto"/>
        </w:rPr>
      </w:pPr>
    </w:p>
    <w:p>
      <w:pPr>
        <w:ind w:left="300" w:right="339" w:firstLine="441"/>
        <w:spacing w:after="0" w:line="256" w:lineRule="auto"/>
        <w:rPr>
          <w:sz w:val="20"/>
          <w:szCs w:val="20"/>
          <w:color w:val="auto"/>
        </w:rPr>
      </w:pPr>
      <w:r>
        <w:rPr>
          <w:rFonts w:ascii="Times New Roman" w:cs="Times New Roman" w:eastAsia="Times New Roman" w:hAnsi="Times New Roman"/>
          <w:sz w:val="18"/>
          <w:szCs w:val="18"/>
          <w:color w:val="auto"/>
        </w:rPr>
        <w:t>The Board believes that equity-based compensation is a critical part of the Company’s compensation program. Our 2007 Plan is overseen by our Compensation Committee as the delegate administrator. Stockholder approval of the 2007 Plan share increase would allow us greater flexibility to continue to attract, motivate and retain key personnel including directors, officers and other service providers, through equity-based compensation in a highly competitive industry. The Board further believes that, without stockholder approval of the 2007 Plan share increase, the Company’s ability to attract, motivate and retain key personnel would be significantly weakened.</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We Believe the Share Increase Request is Reasonable</w:t>
      </w:r>
    </w:p>
    <w:p>
      <w:pPr>
        <w:spacing w:after="0" w:line="189"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color w:val="auto"/>
        </w:rPr>
        <w:t>In 2020, 2021 and 2022, the Company granted equity awards totaling 4,659,942, 4,502,937 and 7,128,055 shares of common stock under the 2007 Plan, respectively. The equity award grants in 2020 and 2021 each include one set of annual grants. The equity grants in 2022 include annual grants for non-executive employees and a retention grant for employees and certain executives. The footnotes to the Company’s financial statements in its Annual Report on Form 10-K for each of the fiscal years ended December 31, 2020, 2021, and 2022 set forth detailed information regarding the equity awards granted each year, as well as the total number of outstanding shares with respect to each type of award. As of the Record Date, there were no shares of common stock remaining available for grants under the 2007 Plan, and the total number of shares of common stock subject to outstanding awards under the 2007 Plan was 30,270,826.</w:t>
      </w:r>
    </w:p>
    <w:p>
      <w:pPr>
        <w:spacing w:after="0" w:line="161" w:lineRule="exact"/>
        <w:rPr>
          <w:sz w:val="20"/>
          <w:szCs w:val="20"/>
          <w:color w:val="auto"/>
        </w:rPr>
      </w:pPr>
    </w:p>
    <w:p>
      <w:pPr>
        <w:ind w:left="300" w:right="419" w:firstLine="441"/>
        <w:spacing w:after="0" w:line="261" w:lineRule="auto"/>
        <w:rPr>
          <w:sz w:val="20"/>
          <w:szCs w:val="20"/>
          <w:color w:val="auto"/>
        </w:rPr>
      </w:pPr>
      <w:r>
        <w:rPr>
          <w:rFonts w:ascii="Times New Roman" w:cs="Times New Roman" w:eastAsia="Times New Roman" w:hAnsi="Times New Roman"/>
          <w:sz w:val="18"/>
          <w:szCs w:val="18"/>
          <w:color w:val="auto"/>
        </w:rPr>
        <w:t>The following table includes information regarding potential dilution from equity awards outstanding under the 2007 Plan and shares of common stock available for future grant under the 2007 Plan as of the Record Date, outstanding non-2007 Plan equity awards, as well as the proposed increase in shares of common stock available for future grant under the 2007 Plan:</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a percentage of</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April 18, 2023</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2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(119,279,998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Total shares of common stock subject to outstanding awards as of April 18, 2023 under the 2007</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30,270,826</w:t>
            </w: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Plan</w:t>
            </w:r>
          </w:p>
        </w:tc>
        <w:tc>
          <w:tcPr>
            <w:tcW w:w="1160" w:type="dxa"/>
            <w:vAlign w:val="bottom"/>
            <w:vMerge w:val="continue"/>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Total shares of common stock available for future grant as of April 18, 2023 under the 2007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139"/>
        </w:trPr>
        <w:tc>
          <w:tcPr>
            <w:tcW w:w="5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Total shares of common stock subject to outstanding awards as of April 18, 2023 not under the</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957,267</w:t>
            </w: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2007 Plan</w:t>
            </w:r>
          </w:p>
        </w:tc>
        <w:tc>
          <w:tcPr>
            <w:tcW w:w="1160" w:type="dxa"/>
            <w:vAlign w:val="bottom"/>
            <w:vMerge w:val="continue"/>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Proposed additional shares of common stock available for future grant under the 2007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8,490,000</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-641985</wp:posOffset>
            </wp:positionV>
            <wp:extent cx="534924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-324485</wp:posOffset>
            </wp:positionV>
            <wp:extent cx="534924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124" w:lineRule="exact"/>
        <w:rPr>
          <w:sz w:val="20"/>
          <w:szCs w:val="20"/>
          <w:color w:val="auto"/>
        </w:rPr>
      </w:pPr>
    </w:p>
    <w:p>
      <w:pPr>
        <w:ind w:left="300" w:right="519" w:firstLine="441"/>
        <w:spacing w:after="0" w:line="258" w:lineRule="auto"/>
        <w:rPr>
          <w:sz w:val="20"/>
          <w:szCs w:val="20"/>
          <w:color w:val="auto"/>
        </w:rPr>
      </w:pPr>
      <w:r>
        <w:rPr>
          <w:rFonts w:ascii="Times New Roman" w:cs="Times New Roman" w:eastAsia="Times New Roman" w:hAnsi="Times New Roman"/>
          <w:sz w:val="18"/>
          <w:szCs w:val="18"/>
          <w:color w:val="auto"/>
        </w:rPr>
        <w:t>In addition to overall dilution, the Compensation Committee reviewed annual dilution from the Company’s equity incentive plans during 2022 in approving the amendment to the 2007 Plan. The Company measures annual dilution as: (i) the total number of shares of common stock granted as equity awards during the year; less (ii) cancellations and other shares returned to the reserve; divided by (iii) total shares of common stock outstanding at the end of the year. The Company’s annual dilution for 2022 calculated on this basis was 2.6%.</w:t>
      </w:r>
    </w:p>
    <w:p>
      <w:pPr>
        <w:spacing w:after="0" w:line="143" w:lineRule="exact"/>
        <w:rPr>
          <w:sz w:val="20"/>
          <w:szCs w:val="20"/>
          <w:color w:val="auto"/>
        </w:rPr>
      </w:pPr>
    </w:p>
    <w:p>
      <w:pPr>
        <w:jc w:val="both"/>
        <w:ind w:left="300" w:right="419" w:firstLine="441"/>
        <w:spacing w:after="0" w:line="289" w:lineRule="auto"/>
        <w:rPr>
          <w:sz w:val="20"/>
          <w:szCs w:val="20"/>
          <w:color w:val="auto"/>
        </w:rPr>
      </w:pPr>
      <w:r>
        <w:rPr>
          <w:rFonts w:ascii="Times New Roman" w:cs="Times New Roman" w:eastAsia="Times New Roman" w:hAnsi="Times New Roman"/>
          <w:sz w:val="17"/>
          <w:szCs w:val="17"/>
          <w:color w:val="auto"/>
        </w:rPr>
        <w:t>The Company also monitors stockholder dilution by tracking the number of shares common stock subject to equity awards that it grants annually, commonly referred to as “burn rate.” Burn rate shows how rapidly a company is depleting its shares reserved for equity-based compensation awards, and is calculated as: (i) the number of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7" w:name="page48"/>
    <w:bookmarkEnd w:id="47"/>
    <w:p>
      <w:pPr>
        <w:ind w:left="300" w:right="319"/>
        <w:spacing w:after="0" w:line="258" w:lineRule="auto"/>
        <w:rPr>
          <w:sz w:val="20"/>
          <w:szCs w:val="20"/>
          <w:color w:val="auto"/>
        </w:rPr>
      </w:pPr>
      <w:r>
        <w:rPr>
          <w:rFonts w:ascii="Times New Roman" w:cs="Times New Roman" w:eastAsia="Times New Roman" w:hAnsi="Times New Roman"/>
          <w:sz w:val="18"/>
          <w:szCs w:val="18"/>
          <w:color w:val="auto"/>
        </w:rPr>
        <w:t>of common stock granted as equity awards during a fiscal year; divided by (ii) the weighted average number of shares of common stock outstanding during the year. The Company also evaluates and considers factors that may impact the burn rate. Such factors include stock price (that is, a lower stock price requires more shares to transfer the same value) and out-of-cycle grants (which include significant new hires and special one-time retention grants). The burn rate for the past three years is reflected in the following table:</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2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200" w:type="dxa"/>
            <w:vAlign w:val="bottom"/>
          </w:tcPr>
          <w:p>
            <w:pPr>
              <w:spacing w:after="0"/>
              <w:rPr>
                <w:sz w:val="12"/>
                <w:szCs w:val="12"/>
                <w:color w:val="auto"/>
              </w:rPr>
            </w:pPr>
          </w:p>
        </w:tc>
        <w:tc>
          <w:tcPr>
            <w:tcW w:w="152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Burn Rate</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3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40" w:type="dxa"/>
            <w:vAlign w:val="bottom"/>
          </w:tcPr>
          <w:p>
            <w:pPr>
              <w:jc w:val="right"/>
              <w:ind w:right="3568"/>
              <w:spacing w:after="0"/>
              <w:rPr>
                <w:sz w:val="20"/>
                <w:szCs w:val="20"/>
                <w:color w:val="auto"/>
              </w:rPr>
            </w:pPr>
            <w:r>
              <w:rPr>
                <w:rFonts w:ascii="Times New Roman" w:cs="Times New Roman" w:eastAsia="Times New Roman" w:hAnsi="Times New Roman"/>
                <w:sz w:val="14"/>
                <w:szCs w:val="14"/>
                <w:color w:val="auto"/>
                <w:w w:val="99"/>
              </w:rPr>
              <w:t>2022</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7,128,055</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108,875,738</w:t>
            </w:r>
          </w:p>
        </w:tc>
        <w:tc>
          <w:tcPr>
            <w:tcW w:w="200" w:type="dxa"/>
            <w:vAlign w:val="bottom"/>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6"/>
        </w:trPr>
        <w:tc>
          <w:tcPr>
            <w:tcW w:w="3940" w:type="dxa"/>
            <w:vAlign w:val="bottom"/>
          </w:tcPr>
          <w:p>
            <w:pPr>
              <w:jc w:val="right"/>
              <w:ind w:right="3568"/>
              <w:spacing w:after="0"/>
              <w:rPr>
                <w:sz w:val="20"/>
                <w:szCs w:val="20"/>
                <w:color w:val="auto"/>
              </w:rPr>
            </w:pPr>
            <w:r>
              <w:rPr>
                <w:rFonts w:ascii="Times New Roman" w:cs="Times New Roman" w:eastAsia="Times New Roman" w:hAnsi="Times New Roman"/>
                <w:sz w:val="14"/>
                <w:szCs w:val="14"/>
                <w:color w:val="auto"/>
                <w:w w:val="99"/>
              </w:rPr>
              <w:t>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4,502,937</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98,471,488</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175"/>
        </w:trPr>
        <w:tc>
          <w:tcPr>
            <w:tcW w:w="3940" w:type="dxa"/>
            <w:vAlign w:val="bottom"/>
          </w:tcPr>
          <w:p>
            <w:pPr>
              <w:jc w:val="right"/>
              <w:ind w:right="3568"/>
              <w:spacing w:after="0"/>
              <w:rPr>
                <w:sz w:val="20"/>
                <w:szCs w:val="20"/>
                <w:color w:val="auto"/>
              </w:rPr>
            </w:pPr>
            <w:r>
              <w:rPr>
                <w:rFonts w:ascii="Times New Roman" w:cs="Times New Roman" w:eastAsia="Times New Roman" w:hAnsi="Times New Roman"/>
                <w:sz w:val="14"/>
                <w:szCs w:val="14"/>
                <w:color w:val="auto"/>
                <w:w w:val="99"/>
              </w:rPr>
              <w:t>2020</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4,659,942</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90,774,085</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-333375</wp:posOffset>
            </wp:positionV>
            <wp:extent cx="5349240"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11112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5349240"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111125"/>
                    </a:xfrm>
                    <a:prstGeom prst="rect">
                      <a:avLst/>
                    </a:prstGeom>
                    <a:noFill/>
                  </pic:spPr>
                </pic:pic>
              </a:graphicData>
            </a:graphic>
          </wp:anchor>
        </w:drawing>
      </w:r>
    </w:p>
    <w:p>
      <w:pPr>
        <w:spacing w:after="0" w:line="173" w:lineRule="exact"/>
        <w:rPr>
          <w:sz w:val="20"/>
          <w:szCs w:val="20"/>
          <w:color w:val="auto"/>
        </w:rPr>
      </w:pPr>
    </w:p>
    <w:p>
      <w:pPr>
        <w:ind w:left="580" w:hanging="288"/>
        <w:spacing w:after="0"/>
        <w:tabs>
          <w:tab w:leader="none" w:pos="5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1,831,508 shares subject to restricted stock units/performance stock units.</w:t>
      </w:r>
    </w:p>
    <w:p>
      <w:pPr>
        <w:spacing w:after="0" w:line="3" w:lineRule="exact"/>
        <w:rPr>
          <w:rFonts w:ascii="Times New Roman" w:cs="Times New Roman" w:eastAsia="Times New Roman" w:hAnsi="Times New Roman"/>
          <w:sz w:val="14"/>
          <w:szCs w:val="14"/>
          <w:color w:val="auto"/>
        </w:rPr>
      </w:pPr>
    </w:p>
    <w:p>
      <w:pPr>
        <w:ind w:left="580" w:hanging="288"/>
        <w:spacing w:after="0" w:line="221" w:lineRule="auto"/>
        <w:tabs>
          <w:tab w:leader="none" w:pos="5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2,448,957 shares subject to restricted stock units.</w:t>
      </w:r>
    </w:p>
    <w:p>
      <w:pPr>
        <w:ind w:left="580" w:hanging="288"/>
        <w:spacing w:after="0"/>
        <w:tabs>
          <w:tab w:leader="none" w:pos="5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604,241 shares subject to restricted stock units.</w:t>
      </w:r>
    </w:p>
    <w:p>
      <w:pPr>
        <w:spacing w:after="0" w:line="1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three-year average burn rate (calculated on the basis shown above) is 5.5%.</w:t>
      </w:r>
    </w:p>
    <w:p>
      <w:pPr>
        <w:spacing w:after="0" w:line="198" w:lineRule="exact"/>
        <w:rPr>
          <w:sz w:val="20"/>
          <w:szCs w:val="20"/>
          <w:color w:val="auto"/>
        </w:rPr>
      </w:pPr>
    </w:p>
    <w:p>
      <w:pPr>
        <w:ind w:left="300" w:right="339" w:firstLine="441"/>
        <w:spacing w:after="0" w:line="254" w:lineRule="auto"/>
        <w:rPr>
          <w:sz w:val="20"/>
          <w:szCs w:val="20"/>
          <w:color w:val="auto"/>
        </w:rPr>
      </w:pPr>
      <w:r>
        <w:rPr>
          <w:rFonts w:ascii="Times New Roman" w:cs="Times New Roman" w:eastAsia="Times New Roman" w:hAnsi="Times New Roman"/>
          <w:sz w:val="18"/>
          <w:szCs w:val="18"/>
          <w:color w:val="auto"/>
        </w:rPr>
        <w:t>An additional metric that the Company uses to measure the cumulative impact of its equity program is “overhang.” Overhang is calculated as: (i) the number of shares of common stock granted as equity awards, but not exercised or settled; plus (ii) the number of shares of common stock available to be granted; divided by (a) the sum of the total number of shares of common stock outstanding at the end of the year; plus (b) the number of shares of common stock granted as equity awards, but not exercised or settled; plus (c) the number of shares of common stock remaining available for grant. If the proposed amendment to the 2007 Plan is approved, the Company’s overhang calculated on this basis would increase from 17.3% to 21.9%, and then would be expected to decline as awards are exercised and/or become vested.</w:t>
      </w:r>
    </w:p>
    <w:p>
      <w:pPr>
        <w:spacing w:after="0" w:line="151" w:lineRule="exact"/>
        <w:rPr>
          <w:sz w:val="20"/>
          <w:szCs w:val="20"/>
          <w:color w:val="auto"/>
        </w:rPr>
      </w:pPr>
    </w:p>
    <w:p>
      <w:pPr>
        <w:ind w:left="300" w:right="399" w:firstLine="441"/>
        <w:spacing w:after="0" w:line="261" w:lineRule="auto"/>
        <w:rPr>
          <w:sz w:val="20"/>
          <w:szCs w:val="20"/>
          <w:color w:val="auto"/>
        </w:rPr>
      </w:pPr>
      <w:r>
        <w:rPr>
          <w:rFonts w:ascii="Times New Roman" w:cs="Times New Roman" w:eastAsia="Times New Roman" w:hAnsi="Times New Roman"/>
          <w:sz w:val="18"/>
          <w:szCs w:val="18"/>
          <w:color w:val="auto"/>
        </w:rPr>
        <w:t>The Company believes that the increased number of shares of common stock available for grant requested under this proposal is necessary for the Company to continue to attract, motivate and retain key personnel as part of its overall compensation design. In approving the increase, the Compensation Committee believes that the share increase request is appropriate for our industry and consistent with the practices of our peer companies.</w:t>
      </w:r>
    </w:p>
    <w:p>
      <w:pPr>
        <w:spacing w:after="0" w:line="139" w:lineRule="exact"/>
        <w:rPr>
          <w:sz w:val="20"/>
          <w:szCs w:val="20"/>
          <w:color w:val="auto"/>
        </w:rPr>
      </w:pPr>
    </w:p>
    <w:p>
      <w:pPr>
        <w:ind w:left="300" w:right="499" w:firstLine="441"/>
        <w:spacing w:after="0" w:line="266" w:lineRule="auto"/>
        <w:rPr>
          <w:sz w:val="20"/>
          <w:szCs w:val="20"/>
          <w:color w:val="auto"/>
        </w:rPr>
      </w:pPr>
      <w:r>
        <w:rPr>
          <w:rFonts w:ascii="Times New Roman" w:cs="Times New Roman" w:eastAsia="Times New Roman" w:hAnsi="Times New Roman"/>
          <w:sz w:val="18"/>
          <w:szCs w:val="18"/>
          <w:color w:val="auto"/>
        </w:rPr>
        <w:t>If stockholders do not approve this proposal, the Company will have no shares remaining available for grant under the 2007 Plan which may significantly negatively affect our ability to grow our business by not providing equity-based compensation to attract, motivate and retain key employees.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2007 Plan</w:t>
      </w:r>
    </w:p>
    <w:p>
      <w:pPr>
        <w:spacing w:after="0" w:line="187" w:lineRule="exact"/>
        <w:rPr>
          <w:sz w:val="20"/>
          <w:szCs w:val="20"/>
          <w:color w:val="auto"/>
        </w:rPr>
      </w:pPr>
    </w:p>
    <w:p>
      <w:pPr>
        <w:ind w:left="300" w:right="33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following is a summary of the principal features of the 2007 Plan, as amended, together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tax implications with respect to the 2007 Plan. The summary is qualified by reference to the full text of the 2007 Plan, as amended, which is attached as Appendix A to this Proxy Statement.</w:t>
      </w:r>
    </w:p>
    <w:p>
      <w:pPr>
        <w:spacing w:after="0" w:line="148" w:lineRule="exact"/>
        <w:rPr>
          <w:sz w:val="20"/>
          <w:szCs w:val="20"/>
          <w:color w:val="auto"/>
        </w:rPr>
      </w:pPr>
    </w:p>
    <w:p>
      <w:pPr>
        <w:ind w:left="300" w:right="479" w:firstLine="441"/>
        <w:spacing w:after="0" w:line="255" w:lineRule="auto"/>
        <w:rPr>
          <w:sz w:val="20"/>
          <w:szCs w:val="20"/>
          <w:color w:val="auto"/>
        </w:rPr>
      </w:pPr>
      <w:r>
        <w:rPr>
          <w:rFonts w:ascii="Times New Roman" w:cs="Times New Roman" w:eastAsia="Times New Roman" w:hAnsi="Times New Roman"/>
          <w:sz w:val="18"/>
          <w:szCs w:val="18"/>
          <w:color w:val="auto"/>
        </w:rPr>
        <w:t>The purpose of the 2007 Plan is to encourage ownership in the Company by key personnel whose long-term employment or other service relationship with the Company is considered essential to the Company’s continued progress and, thereby, encourage recipients to act in the stockholders’ interest and share in the Company’s success. Stock options and stock awards, including restricted stock, restricted stock units, stock appreciation rights and similar types of awards, may be granted under the 2007 Plan. Options granted under the 2007 Plan may be either “incentive stock options,” as defined in Section 422 of the United States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or non-statutory stock options.</w:t>
      </w:r>
    </w:p>
    <w:p>
      <w:pPr>
        <w:spacing w:after="0" w:line="146" w:lineRule="exact"/>
        <w:rPr>
          <w:sz w:val="20"/>
          <w:szCs w:val="20"/>
          <w:color w:val="auto"/>
        </w:rPr>
      </w:pPr>
    </w:p>
    <w:p>
      <w:pPr>
        <w:ind w:left="300" w:right="399" w:firstLine="441"/>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2007 Plan may be administered by our Board, a committee of our Board, or an employee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director delegated by our Board or our Board committee in accordance with the terms of the 2007 Plan (as applicable, the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Our Board has delegated this authority to our Compensation Committee. The Administrator has the authority to, among other things, select the employees, consultants and directors to whom awards are granted under the 2007 Plan; determine the number of shares of common stock to be covered by each award; determine the type of award granted to the selected employees, consultants and directors; determine the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48" w:name="page49"/>
    <w:bookmarkEnd w:id="48"/>
    <w:p>
      <w:pPr>
        <w:ind w:left="300" w:right="519"/>
        <w:spacing w:after="0" w:line="282" w:lineRule="auto"/>
        <w:rPr>
          <w:sz w:val="20"/>
          <w:szCs w:val="20"/>
          <w:color w:val="auto"/>
        </w:rPr>
      </w:pPr>
      <w:r>
        <w:rPr>
          <w:rFonts w:ascii="Times New Roman" w:cs="Times New Roman" w:eastAsia="Times New Roman" w:hAnsi="Times New Roman"/>
          <w:sz w:val="18"/>
          <w:szCs w:val="18"/>
          <w:color w:val="auto"/>
        </w:rPr>
        <w:t>terms and conditions, not inconsistent with the terms of the 2007 Plan, of any award; and to construe and interpret the terms of the 2007 Plan.</w:t>
      </w:r>
    </w:p>
    <w:p>
      <w:pPr>
        <w:spacing w:after="0" w:line="160" w:lineRule="exact"/>
        <w:rPr>
          <w:sz w:val="20"/>
          <w:szCs w:val="20"/>
          <w:color w:val="auto"/>
        </w:rPr>
      </w:pPr>
    </w:p>
    <w:p>
      <w:pPr>
        <w:ind w:left="300" w:right="359"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Awards may be granted under the 2007 Plan to employees, including our officers,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of the Company or our affiliates. Incentive stock options may be granted only to our employees or employees of our subsidiaries, if any. As of the Record Date, 210 individuals were eligible to receive awards under the 2007 Plan, including 203 employees (including our three named executive officers) and our six non-employee directors. The Administrator, in its discretion, selects the employees, directors and consultants to whom awards may be granted, the time or times at which such awards are granted, and the terms of such awards. However, no individual may be granted equity awards under the 2007 Plan covering more than 50% of the number of shares authorized for issuance under the 2007 Plan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15,350,000 shares prior to the adoption of the amendment) in any calendar year, except that in connection with an individual’s commencement of service with us, he or she may be granted awards covering up to an additional 200,000 shares in the year in which such service commences.</w:t>
      </w:r>
    </w:p>
    <w:p>
      <w:pPr>
        <w:spacing w:after="0" w:line="145" w:lineRule="exact"/>
        <w:rPr>
          <w:sz w:val="20"/>
          <w:szCs w:val="20"/>
          <w:color w:val="auto"/>
        </w:rPr>
      </w:pPr>
    </w:p>
    <w:p>
      <w:pPr>
        <w:ind w:left="300" w:right="399"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Securities Subject to the 2007 Plan. </w:t>
      </w:r>
      <w:r>
        <w:rPr>
          <w:rFonts w:ascii="Times New Roman" w:cs="Times New Roman" w:eastAsia="Times New Roman" w:hAnsi="Times New Roman"/>
          <w:sz w:val="18"/>
          <w:szCs w:val="18"/>
          <w:color w:val="auto"/>
        </w:rPr>
        <w:t>If the amendment is approved, an aggregate of 39,190,000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will be reserved for issuance under the 2007 Plan. As of the Record Date, the closing price of our common stock was $2.68 per share. Unissued shares subject to awards that are canceled, expire or are forfeited will be available for re-grant or sale under the 2007 Plan. Notwithstanding the foregoing, if stockholders approve the amendment to the 2007 Plan, from and after such approval shares withheld by or delivered to satisfy the exercise price of options or tax withholding obligations with respect to any award granted under the 2007 Plan will nonetheless be deemed to have been issued under the 2007 Plan and will not be available for re-issuance under the 2007 Plan. Shares available under the 2007 Plan may be either outstanding shares repurchased by the Company or newly issued shares.</w:t>
      </w:r>
    </w:p>
    <w:p>
      <w:pPr>
        <w:spacing w:after="0" w:line="161" w:lineRule="exact"/>
        <w:rPr>
          <w:sz w:val="20"/>
          <w:szCs w:val="20"/>
          <w:color w:val="auto"/>
        </w:rPr>
      </w:pPr>
    </w:p>
    <w:p>
      <w:pPr>
        <w:ind w:left="300" w:right="43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Director Awards</w:t>
      </w:r>
      <w:r>
        <w:rPr>
          <w:rFonts w:ascii="Times New Roman" w:cs="Times New Roman" w:eastAsia="Times New Roman" w:hAnsi="Times New Roman"/>
          <w:sz w:val="18"/>
          <w:szCs w:val="18"/>
          <w:color w:val="auto"/>
        </w:rPr>
        <w:t>. The aggregate dollar value of cash compensation and awards (based on the grant date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such awards) granted under the 2007 Plan or otherwise during any calendar year to any one non-employee director shall not exceed $750,000. However, in any calendar year in which a non-employee director first joins the Board or is designated as Chairman of the Board, the maximum aggregate dollar value of equity-based and cash compensation granted to the non-employee director may be up to two hundred percent (200%) of the foregoing limit.</w:t>
      </w:r>
    </w:p>
    <w:p>
      <w:pPr>
        <w:spacing w:after="0" w:line="142" w:lineRule="exact"/>
        <w:rPr>
          <w:sz w:val="20"/>
          <w:szCs w:val="20"/>
          <w:color w:val="auto"/>
        </w:rPr>
      </w:pPr>
    </w:p>
    <w:p>
      <w:pPr>
        <w:ind w:left="300" w:right="33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Minimum Vesting Period</w:t>
      </w:r>
      <w:r>
        <w:rPr>
          <w:rFonts w:ascii="Times New Roman" w:cs="Times New Roman" w:eastAsia="Times New Roman" w:hAnsi="Times New Roman"/>
          <w:sz w:val="18"/>
          <w:szCs w:val="18"/>
          <w:color w:val="auto"/>
        </w:rPr>
        <w:t>. Subject to carve outs for (i) up to 5% of the maximum number of shares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the 2007 Plan, (ii) awards granted to non-employee directors prior to the next annual meeting held at least 50 weeks after the prior annual meeting, and (iii) in the cases of death, disability, retirement or a change in control, awards under the plan may not vest prior to the first anniversary of the grant date.</w:t>
      </w:r>
    </w:p>
    <w:p>
      <w:pPr>
        <w:spacing w:after="0" w:line="139" w:lineRule="exact"/>
        <w:rPr>
          <w:sz w:val="20"/>
          <w:szCs w:val="20"/>
          <w:color w:val="auto"/>
        </w:rPr>
      </w:pPr>
    </w:p>
    <w:p>
      <w:pPr>
        <w:ind w:left="300" w:right="31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Terms and Conditions of Options. </w:t>
      </w:r>
      <w:r>
        <w:rPr>
          <w:rFonts w:ascii="Times New Roman" w:cs="Times New Roman" w:eastAsia="Times New Roman" w:hAnsi="Times New Roman"/>
          <w:sz w:val="18"/>
          <w:szCs w:val="18"/>
          <w:color w:val="auto"/>
        </w:rPr>
        <w:t>Each option is evidenced by a stock option agreement between us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optionee specifying: (i) the number of shares subject to the option; (ii) the type of option; (iii) the exercise price with respect to the shares subject to the option and the means of payment for the shares; (iv) the term of the option; (v) the terms and conditions relating to the vesting and exercisability of the option; (vi) restrictions on transfer of the option or the shares subject to the option and forfeiture provisions; and (vii) such further terms and conditions, in each case not inconsistent with the 2007 Plan, as may be determined from time to time by the Administrator, and is subject to the following additional terms and conditions:</w:t>
      </w:r>
    </w:p>
    <w:p>
      <w:pPr>
        <w:spacing w:after="0" w:line="142" w:lineRule="exact"/>
        <w:rPr>
          <w:sz w:val="20"/>
          <w:szCs w:val="20"/>
          <w:color w:val="auto"/>
        </w:rPr>
      </w:pPr>
    </w:p>
    <w:p>
      <w:pPr>
        <w:ind w:left="300" w:right="35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Administrator determines the exercise price of options at the time the options are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price of an incentive stock option or a non-statutory stock option may not be less than 100% of the fair market value of the common stock on the date the option is granted and the exercise price of an incentive stock option granted to an employee who holds more than 10% of our voting stock may not be less than 110% of the fair market value of the common stock on the date the option is granted. The fair market value of the common stock is generally equal to the closing price for the shares as quoted on the principal exchange or quotation service for our common stock as of the applicable date.</w:t>
      </w:r>
    </w:p>
    <w:p>
      <w:pPr>
        <w:spacing w:after="0" w:line="142" w:lineRule="exact"/>
        <w:rPr>
          <w:sz w:val="20"/>
          <w:szCs w:val="20"/>
          <w:color w:val="auto"/>
        </w:rPr>
      </w:pPr>
    </w:p>
    <w:p>
      <w:pPr>
        <w:ind w:left="300" w:right="359" w:firstLine="441"/>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Exercise of Option; Form of Consideration. </w:t>
      </w:r>
      <w:r>
        <w:rPr>
          <w:rFonts w:ascii="Times New Roman" w:cs="Times New Roman" w:eastAsia="Times New Roman" w:hAnsi="Times New Roman"/>
          <w:sz w:val="17"/>
          <w:szCs w:val="17"/>
          <w:color w:val="auto"/>
        </w:rPr>
        <w:t>The Administrator determines when options vest and become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exercisable and in its discretion may accelerate the vesting of any outstanding option. Our standard vesting schedule applicable to options granted to employees has been a four-year period from the date of grant or the date of hire, assuming continued employment with us. The means of payment for shares issued upon exercise of an option are specified in each option agreement. The 2007 Plan permits payment to be made by cash, check, wire transfer, other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49" w:name="page50"/>
    <w:bookmarkEnd w:id="49"/>
    <w:p>
      <w:pPr>
        <w:jc w:val="both"/>
        <w:ind w:left="300" w:right="379"/>
        <w:spacing w:after="0" w:line="261" w:lineRule="auto"/>
        <w:rPr>
          <w:sz w:val="20"/>
          <w:szCs w:val="20"/>
          <w:color w:val="auto"/>
        </w:rPr>
      </w:pPr>
      <w:r>
        <w:rPr>
          <w:rFonts w:ascii="Times New Roman" w:cs="Times New Roman" w:eastAsia="Times New Roman" w:hAnsi="Times New Roman"/>
          <w:sz w:val="18"/>
          <w:szCs w:val="18"/>
          <w:color w:val="auto"/>
        </w:rPr>
        <w:t>shares of our common stock (with some restrictions), broker assisted same-day sales, a reduction in the amount of any of our liability owed to the awardee (including any liability attributable to the awardee’s participation in any of our deferred compensation programs or arrangements), any other form of consideration permitted by applicable law (which may include a “net exercise” program) and the Administrator, or any combination thereof.</w:t>
      </w:r>
    </w:p>
    <w:p>
      <w:pPr>
        <w:spacing w:after="0" w:line="137" w:lineRule="exact"/>
        <w:rPr>
          <w:sz w:val="20"/>
          <w:szCs w:val="20"/>
          <w:color w:val="auto"/>
        </w:rPr>
      </w:pPr>
    </w:p>
    <w:p>
      <w:pPr>
        <w:ind w:left="300" w:right="29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 of Option. </w:t>
      </w:r>
      <w:r>
        <w:rPr>
          <w:rFonts w:ascii="Times New Roman" w:cs="Times New Roman" w:eastAsia="Times New Roman" w:hAnsi="Times New Roman"/>
          <w:sz w:val="18"/>
          <w:szCs w:val="18"/>
          <w:color w:val="auto"/>
        </w:rPr>
        <w:t>The term of an option may be no more than ten years from the date of grant, although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incentive stock option granted to an employee who holds more than 10% of our voting stock may be no more than five years from the date of grant. No option may be exercised after the expiration of its term.</w:t>
      </w:r>
    </w:p>
    <w:p>
      <w:pPr>
        <w:spacing w:after="0" w:line="146" w:lineRule="exact"/>
        <w:rPr>
          <w:sz w:val="20"/>
          <w:szCs w:val="20"/>
          <w:color w:val="auto"/>
        </w:rPr>
      </w:pPr>
    </w:p>
    <w:p>
      <w:pPr>
        <w:ind w:left="300" w:right="339"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Terms and Conditions of Stock Awards. </w:t>
      </w:r>
      <w:r>
        <w:rPr>
          <w:rFonts w:ascii="Times New Roman" w:cs="Times New Roman" w:eastAsia="Times New Roman" w:hAnsi="Times New Roman"/>
          <w:sz w:val="18"/>
          <w:szCs w:val="18"/>
          <w:color w:val="auto"/>
        </w:rPr>
        <w:t>Stock awards may be restricted or unrestricted stock grants,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stock appreciation rights or other similar stock awards. Each stock award agreement contains provisions regarding (i) the number of shares subject to the stock award, (ii) the purchase price of the shares, if any, and the means of payment for the shares, (iii) the performance criteria, if any, and level of achievement versus these criteria that will determine the number of shares granted, issued, retainable and vested, as applicable, (iv) such terms and conditions on the grant, issuance, vesting and forfeiture of the shares, as applicable, as may be determined from time to time by the Administrator, (v) restrictions on the transferability of the stock award or the shares, and (vi) such further terms and conditions, in each case not inconsistent with the 2007 Plan, as may be determined from time to time by the Administrator.</w:t>
      </w:r>
    </w:p>
    <w:p>
      <w:pPr>
        <w:spacing w:after="0" w:line="148" w:lineRule="exact"/>
        <w:rPr>
          <w:sz w:val="20"/>
          <w:szCs w:val="20"/>
          <w:color w:val="auto"/>
        </w:rPr>
      </w:pPr>
    </w:p>
    <w:p>
      <w:pPr>
        <w:ind w:left="300" w:right="39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Criteria. </w:t>
      </w:r>
      <w:r>
        <w:rPr>
          <w:rFonts w:ascii="Times New Roman" w:cs="Times New Roman" w:eastAsia="Times New Roman" w:hAnsi="Times New Roman"/>
          <w:sz w:val="18"/>
          <w:szCs w:val="18"/>
          <w:color w:val="auto"/>
        </w:rPr>
        <w:t>The grant, issuance, retention, settlement and/or vesting of each stock award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subject thereto may be subject to such performance criteria and the level of achievement versus these criteria as the Administrator shall determine, which criteria may be based on financial performance, personal performance evaluations and/or completion of service by the awardee.</w:t>
      </w:r>
    </w:p>
    <w:p>
      <w:pPr>
        <w:spacing w:after="0" w:line="182" w:lineRule="exact"/>
        <w:rPr>
          <w:sz w:val="20"/>
          <w:szCs w:val="20"/>
          <w:color w:val="auto"/>
        </w:rPr>
      </w:pPr>
    </w:p>
    <w:p>
      <w:pPr>
        <w:ind w:left="300" w:right="379" w:firstLine="441"/>
        <w:spacing w:after="0" w:line="269" w:lineRule="auto"/>
        <w:rPr>
          <w:sz w:val="20"/>
          <w:szCs w:val="20"/>
          <w:color w:val="auto"/>
        </w:rPr>
      </w:pPr>
      <w:r>
        <w:rPr>
          <w:rFonts w:ascii="Times New Roman" w:cs="Times New Roman" w:eastAsia="Times New Roman" w:hAnsi="Times New Roman"/>
          <w:sz w:val="17"/>
          <w:szCs w:val="17"/>
          <w:color w:val="auto"/>
        </w:rPr>
        <w:t>The 2007 Plan provides that the Administrator may grant awards that vest or become exercisable upon the attainment of performance targets which are related to one or more of the following performance criteria, either individually, alternatively or in any combination, applied to either the Company as a whole or to a business unit, affiliate or business segment (which may be measured either annually or cumulatively over a period of years, on an absolute basis or relative to a pre-established target, to previous years’ results or to a designated comparison group):</w:t>
      </w:r>
    </w:p>
    <w:p>
      <w:pPr>
        <w:spacing w:after="0" w:line="3" w:lineRule="exact"/>
        <w:rPr>
          <w:sz w:val="20"/>
          <w:szCs w:val="20"/>
          <w:color w:val="auto"/>
        </w:rPr>
      </w:pPr>
    </w:p>
    <w:p>
      <w:pPr>
        <w:ind w:left="300" w:right="339" w:hanging="8"/>
        <w:spacing w:after="0" w:line="250" w:lineRule="auto"/>
        <w:tabs>
          <w:tab w:leader="none" w:pos="5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(ii) earnings (including gross margin; earnings before interest and taxes; earnings before interest, taxes, depreciation and amortization; earnings before taxes; and net earnings); (iii) earnings per share; (iv) growth in earnings or earnings per share; (v) stock price; (vi) return on equity or average stockholders’ equity; (vii) total stockholder return; (viii) return on capital; (ix) return on assets or net assets; (x) return on investment; (xi) revenue or growth in revenue; (xii) income or net income; (xiii) operating income or net operating income, in aggregate or per share; (xiv) operating profit or net operating profit; (xv) operating margin; (xvi) return on operating revenue;</w:t>
      </w:r>
    </w:p>
    <w:p>
      <w:pPr>
        <w:spacing w:after="0" w:line="2" w:lineRule="exact"/>
        <w:rPr>
          <w:rFonts w:ascii="Times New Roman" w:cs="Times New Roman" w:eastAsia="Times New Roman" w:hAnsi="Times New Roman"/>
          <w:sz w:val="18"/>
          <w:szCs w:val="18"/>
          <w:color w:val="auto"/>
        </w:rPr>
      </w:pPr>
    </w:p>
    <w:p>
      <w:pPr>
        <w:jc w:val="both"/>
        <w:ind w:left="300" w:right="579" w:hanging="8"/>
        <w:spacing w:after="0" w:line="265" w:lineRule="auto"/>
        <w:tabs>
          <w:tab w:leader="none" w:pos="74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share; (xviii) contract awards or backlog; (xix) overhead or other expense reduction; (xx) growth in stockholder value relative to the moving average of the S&amp;P 500 Index or a peer group index; (xxi) credit rating;</w:t>
      </w:r>
    </w:p>
    <w:p>
      <w:pPr>
        <w:jc w:val="both"/>
        <w:ind w:left="300" w:right="579" w:hanging="8"/>
        <w:spacing w:after="0" w:line="265" w:lineRule="auto"/>
        <w:tabs>
          <w:tab w:leader="none" w:pos="74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plan development and implementation (including individual performance objectives that relate to achievement of the Company’s or any business unit’s strategic plan); (xxiii) improvement in workforce diversity;</w:t>
      </w:r>
    </w:p>
    <w:p>
      <w:pPr>
        <w:ind w:left="300" w:right="439" w:hanging="8"/>
        <w:spacing w:after="0" w:line="251" w:lineRule="auto"/>
        <w:tabs>
          <w:tab w:leader="none" w:pos="7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revenue, operating income or net income; (xxv) efficiency ratio; (xxvi) ratio of nonperforming assets to total assets; and (xxvii) any other similar criteria. Our Compensation Committee (or another committee of directors appointed by the Board) may appropriately adjust any evaluation of performance under the criteria specified above to exclude any of the following events that occurs during a performance period: asset write-downs, litigation or claim judgments or settlements, the effect of changes in tax law, accounting principles or other such laws or provisions affecting reported results, accruals for reorganization and restructuring programs, any gains or losses classified as extraordinary or as discontinued operations in the Company’s financial statements, and merger, acquisitions or divestitures.</w:t>
      </w:r>
    </w:p>
    <w:p>
      <w:pPr>
        <w:spacing w:after="0" w:line="151" w:lineRule="exact"/>
        <w:rPr>
          <w:sz w:val="20"/>
          <w:szCs w:val="20"/>
          <w:color w:val="auto"/>
        </w:rPr>
      </w:pPr>
    </w:p>
    <w:p>
      <w:pPr>
        <w:ind w:left="300" w:right="339"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Adjustments upon Changes in Capitalization, Dissolution, Merger or Asset Sale. </w:t>
      </w:r>
      <w:r>
        <w:rPr>
          <w:rFonts w:ascii="Times New Roman" w:cs="Times New Roman" w:eastAsia="Times New Roman" w:hAnsi="Times New Roman"/>
          <w:sz w:val="18"/>
          <w:szCs w:val="18"/>
          <w:color w:val="auto"/>
        </w:rPr>
        <w:t>Subject to any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by the stockholders of the Company, in the event of any stock split, reverse stock split, stock dividend, combination, reclassification of our common stock, payment of a dividend or distribution in a form other than stock (excepting normal cash dividends) that has a material effect on the fair market value of our common stock or any other increase or decrease in the number of issued shares of our common stock effected without receipt of our consideration, proportionate adjustments shall be made to: (i) the number of shares of our common stock covered by each outstanding award under the 2007 Plan; (ii) the number of shares of our common stock which have been authorized for issuance under the 2007 Plan but as to which no awards have yet been granted or which have been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0" w:name="page51"/>
    <w:bookmarkEnd w:id="50"/>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returned to the 2007 Plan upon cancellation, forfeiture or expiration of an award; (iii) the aggregate and individual share limitations set forth in the 2007 Plan; and (iv) the price per share of our common stock covered by each such outstanding award under the 2007 Plan.</w:t>
      </w:r>
    </w:p>
    <w:p>
      <w:pPr>
        <w:spacing w:after="0" w:line="135" w:lineRule="exact"/>
        <w:rPr>
          <w:sz w:val="20"/>
          <w:szCs w:val="20"/>
          <w:color w:val="auto"/>
        </w:rPr>
      </w:pPr>
    </w:p>
    <w:p>
      <w:pPr>
        <w:ind w:left="300" w:right="359" w:firstLine="441"/>
        <w:spacing w:after="0" w:line="255" w:lineRule="auto"/>
        <w:rPr>
          <w:sz w:val="20"/>
          <w:szCs w:val="20"/>
          <w:color w:val="auto"/>
        </w:rPr>
      </w:pPr>
      <w:r>
        <w:rPr>
          <w:rFonts w:ascii="Times New Roman" w:cs="Times New Roman" w:eastAsia="Times New Roman" w:hAnsi="Times New Roman"/>
          <w:sz w:val="18"/>
          <w:szCs w:val="18"/>
          <w:color w:val="auto"/>
        </w:rPr>
        <w:t>In the event of certain mergers with or into another corporation, sales of substantially all of our assets, direct or indirect sales or exchanges of more than 50% of our voting stock, liquidations and/or other transactions set forth in an award agreement, unless otherwise provided in an employment agreement (or award agreement, if applicable), in the event that the successor corporation does not assume or substitute for any outstanding award, such award will fully vest and, with respect to options and stock appreciation rights, become exercisable with respect to all of the shares subject to the award, and all performance goals or other vesting criteria with respect to such ward will be deemed achieved at target levels and all other terms and conditions will be deemed met.</w:t>
      </w:r>
    </w:p>
    <w:p>
      <w:pPr>
        <w:spacing w:after="0" w:line="160" w:lineRule="exact"/>
        <w:rPr>
          <w:sz w:val="20"/>
          <w:szCs w:val="20"/>
          <w:color w:val="auto"/>
        </w:rPr>
      </w:pPr>
    </w:p>
    <w:p>
      <w:pPr>
        <w:ind w:left="300" w:right="43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Term of the 2007 Plan and Amendment and Termination of the 2007 Plan</w:t>
      </w:r>
      <w:r>
        <w:rPr>
          <w:rFonts w:ascii="Times New Roman" w:cs="Times New Roman" w:eastAsia="Times New Roman" w:hAnsi="Times New Roman"/>
          <w:sz w:val="18"/>
          <w:szCs w:val="18"/>
          <w:color w:val="auto"/>
        </w:rPr>
        <w:t>. The 2007 Plan shall continue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until June 17, 2032 or, if stockholders approve this amendment of the 2007 Plan, ten years following such approval, unless terminated earlier. The Administrator may amend, alter or discontinue the 2007 Plan or any award agreement at any time. However, we will obtain stockholder approval for any amendment to the 2007 Plan if stockholder approval is necessary or desirable to comply with any applicable law or exchange listing requirements. In addition, we will obtain stockholder approval of any of the following: (i) a material increase in the number of shares available for issuance under the 2007 Plan (other than an adjustment on a stock split or other corporate transaction); (ii) a change of the class of persons eligible to receive awards under the 2007 Plan; (iii) a reduction in the minimum exercise prices at which options may be granted; or (iv) any amendment of outstanding options or stock appreciation rights that effects a repricing of such awards. Generally, no amendment of the 2007 Plan shall impair the rights of an outstanding award without the consent of the awardee.</w:t>
      </w:r>
    </w:p>
    <w:p>
      <w:pPr>
        <w:spacing w:after="0" w:line="151" w:lineRule="exact"/>
        <w:rPr>
          <w:sz w:val="20"/>
          <w:szCs w:val="20"/>
          <w:color w:val="auto"/>
        </w:rPr>
      </w:pPr>
    </w:p>
    <w:p>
      <w:pPr>
        <w:ind w:left="300" w:right="499" w:firstLine="441"/>
        <w:spacing w:after="0" w:line="315" w:lineRule="auto"/>
        <w:rPr>
          <w:sz w:val="20"/>
          <w:szCs w:val="20"/>
          <w:color w:val="auto"/>
        </w:rPr>
      </w:pPr>
      <w:r>
        <w:rPr>
          <w:rFonts w:ascii="Times New Roman" w:cs="Times New Roman" w:eastAsia="Times New Roman" w:hAnsi="Times New Roman"/>
          <w:sz w:val="17"/>
          <w:szCs w:val="17"/>
          <w:i w:val="1"/>
          <w:iCs w:val="1"/>
          <w:color w:val="auto"/>
        </w:rPr>
        <w:t>Clawback requirements</w:t>
      </w:r>
      <w:r>
        <w:rPr>
          <w:rFonts w:ascii="Times New Roman" w:cs="Times New Roman" w:eastAsia="Times New Roman" w:hAnsi="Times New Roman"/>
          <w:sz w:val="17"/>
          <w:szCs w:val="17"/>
          <w:color w:val="auto"/>
        </w:rPr>
        <w:t>. Any awards granted under the 2007 Plan will be subject to recovery under any law,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government regulation, stock exchange listing requirement, and any clawback policy adopted by the company.</w:t>
      </w:r>
    </w:p>
    <w:p>
      <w:pPr>
        <w:spacing w:after="0" w:line="94" w:lineRule="exact"/>
        <w:rPr>
          <w:sz w:val="20"/>
          <w:szCs w:val="20"/>
          <w:color w:val="auto"/>
        </w:rPr>
      </w:pPr>
    </w:p>
    <w:p>
      <w:pPr>
        <w:ind w:left="300" w:right="37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Awards under the 2007 Plan. </w:t>
      </w:r>
      <w:r>
        <w:rPr>
          <w:rFonts w:ascii="Times New Roman" w:cs="Times New Roman" w:eastAsia="Times New Roman" w:hAnsi="Times New Roman"/>
          <w:sz w:val="18"/>
          <w:szCs w:val="18"/>
          <w:color w:val="auto"/>
        </w:rPr>
        <w:t>The following table sets forth the options and restricted stock units issued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2007 Plan that were granted to specified persons or groups since the 2007 Plan’s inception.</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7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3"/>
                <w:szCs w:val="13"/>
                <w:color w:val="auto"/>
              </w:rPr>
            </w:pPr>
          </w:p>
        </w:tc>
        <w:tc>
          <w:tcPr>
            <w:tcW w:w="348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3"/>
                <w:szCs w:val="13"/>
                <w:color w:val="auto"/>
              </w:rPr>
            </w:pPr>
          </w:p>
        </w:tc>
        <w:tc>
          <w:tcPr>
            <w:tcW w:w="1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Underlying Awards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Craig Collard</w:t>
            </w:r>
          </w:p>
        </w:tc>
        <w:tc>
          <w:tcPr>
            <w:tcW w:w="180" w:type="dxa"/>
            <w:vAlign w:val="bottom"/>
            <w:shd w:val="clear" w:color="auto" w:fill="CFF0FC"/>
          </w:tcPr>
          <w:p>
            <w:pPr>
              <w:spacing w:after="0"/>
              <w:rPr>
                <w:sz w:val="14"/>
                <w:szCs w:val="14"/>
                <w:color w:val="auto"/>
              </w:rPr>
            </w:pPr>
          </w:p>
        </w:tc>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120" w:type="dxa"/>
            <w:vAlign w:val="bottom"/>
            <w:shd w:val="clear" w:color="auto" w:fill="CFF0FC"/>
          </w:tcPr>
          <w:p>
            <w:pPr>
              <w:spacing w:after="0"/>
              <w:rPr>
                <w:sz w:val="14"/>
                <w:szCs w:val="14"/>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7,537,879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Kimberly Manhard</w:t>
            </w:r>
          </w:p>
        </w:tc>
        <w:tc>
          <w:tcPr>
            <w:tcW w:w="180" w:type="dxa"/>
            <w:vAlign w:val="bottom"/>
          </w:tcPr>
          <w:p>
            <w:pPr>
              <w:spacing w:after="0"/>
              <w:rPr>
                <w:sz w:val="15"/>
                <w:szCs w:val="15"/>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Drug Development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1,555,662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David Szekeres</w:t>
            </w:r>
          </w:p>
        </w:tc>
        <w:tc>
          <w:tcPr>
            <w:tcW w:w="180" w:type="dxa"/>
            <w:vAlign w:val="bottom"/>
            <w:shd w:val="clear" w:color="auto" w:fill="CFF0FC"/>
          </w:tcPr>
          <w:p>
            <w:pPr>
              <w:spacing w:after="0"/>
              <w:rPr>
                <w:sz w:val="15"/>
                <w:szCs w:val="15"/>
                <w:color w:val="auto"/>
              </w:rPr>
            </w:pPr>
          </w:p>
        </w:tc>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Executive Vice President, Chief Operating Officer</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1,407,609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All current executive officers as a group</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10,501,150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All current directors who are not executive officers as a group</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1,549,957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Each nominee for election as a director</w:t>
            </w:r>
          </w:p>
        </w:tc>
        <w:tc>
          <w:tcPr>
            <w:tcW w:w="1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Christian Waage</w:t>
            </w:r>
          </w:p>
        </w:tc>
        <w:tc>
          <w:tcPr>
            <w:tcW w:w="180" w:type="dxa"/>
            <w:vAlign w:val="bottom"/>
            <w:shd w:val="clear" w:color="auto" w:fill="CFF0FC"/>
          </w:tcPr>
          <w:p>
            <w:pPr>
              <w:spacing w:after="0"/>
              <w:rPr>
                <w:sz w:val="15"/>
                <w:szCs w:val="15"/>
                <w:color w:val="auto"/>
              </w:rPr>
            </w:pPr>
          </w:p>
        </w:tc>
        <w:tc>
          <w:tcPr>
            <w:tcW w:w="3480" w:type="dxa"/>
            <w:vAlign w:val="bottom"/>
            <w:shd w:val="clear" w:color="auto" w:fill="CFF0FC"/>
          </w:tcPr>
          <w:p>
            <w:pPr>
              <w:spacing w:after="0"/>
              <w:rPr>
                <w:sz w:val="15"/>
                <w:szCs w:val="15"/>
                <w:color w:val="auto"/>
              </w:rPr>
            </w:pP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263,370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Craig Johnson</w:t>
            </w:r>
          </w:p>
        </w:tc>
        <w:tc>
          <w:tcPr>
            <w:tcW w:w="1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374,595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Sharmila Dissanaike, M.D.</w:t>
            </w:r>
          </w:p>
        </w:tc>
        <w:tc>
          <w:tcPr>
            <w:tcW w:w="180" w:type="dxa"/>
            <w:vAlign w:val="bottom"/>
            <w:shd w:val="clear" w:color="auto" w:fill="CFF0FC"/>
          </w:tcPr>
          <w:p>
            <w:pPr>
              <w:spacing w:after="0"/>
              <w:rPr>
                <w:sz w:val="15"/>
                <w:szCs w:val="15"/>
                <w:color w:val="auto"/>
              </w:rPr>
            </w:pPr>
          </w:p>
        </w:tc>
        <w:tc>
          <w:tcPr>
            <w:tcW w:w="3480" w:type="dxa"/>
            <w:vAlign w:val="bottom"/>
            <w:shd w:val="clear" w:color="auto" w:fill="CFF0FC"/>
          </w:tcPr>
          <w:p>
            <w:pPr>
              <w:spacing w:after="0"/>
              <w:rPr>
                <w:sz w:val="15"/>
                <w:szCs w:val="15"/>
                <w:color w:val="auto"/>
              </w:rPr>
            </w:pP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190,845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Susan Rodriguez</w:t>
            </w:r>
          </w:p>
        </w:tc>
        <w:tc>
          <w:tcPr>
            <w:tcW w:w="1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190,845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Kevin Kotler</w:t>
            </w:r>
          </w:p>
        </w:tc>
        <w:tc>
          <w:tcPr>
            <w:tcW w:w="180" w:type="dxa"/>
            <w:vAlign w:val="bottom"/>
            <w:shd w:val="clear" w:color="auto" w:fill="CFF0FC"/>
          </w:tcPr>
          <w:p>
            <w:pPr>
              <w:spacing w:after="0"/>
              <w:rPr>
                <w:sz w:val="15"/>
                <w:szCs w:val="15"/>
                <w:color w:val="auto"/>
              </w:rPr>
            </w:pPr>
          </w:p>
        </w:tc>
        <w:tc>
          <w:tcPr>
            <w:tcW w:w="3480" w:type="dxa"/>
            <w:vAlign w:val="bottom"/>
            <w:shd w:val="clear" w:color="auto" w:fill="CFF0FC"/>
          </w:tcPr>
          <w:p>
            <w:pPr>
              <w:spacing w:after="0"/>
              <w:rPr>
                <w:sz w:val="15"/>
                <w:szCs w:val="15"/>
                <w:color w:val="auto"/>
              </w:rPr>
            </w:pP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265,151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Adam Morgan</w:t>
            </w:r>
          </w:p>
        </w:tc>
        <w:tc>
          <w:tcPr>
            <w:tcW w:w="1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265,151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Each associate of any such directors, executive officers or nominees</w:t>
            </w:r>
          </w:p>
        </w:tc>
        <w:tc>
          <w:tcPr>
            <w:tcW w:w="12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Each other person who received or is to receive 5% of such options, warrants or rights</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All current employees, including all officers who are not executive officers, as a group</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17,614,652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00" w:right="4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New Plan Benefits</w:t>
      </w:r>
      <w:r>
        <w:rPr>
          <w:rFonts w:ascii="Times New Roman" w:cs="Times New Roman" w:eastAsia="Times New Roman" w:hAnsi="Times New Roman"/>
          <w:sz w:val="18"/>
          <w:szCs w:val="18"/>
          <w:color w:val="auto"/>
        </w:rPr>
        <w:t>. Except as set forth in the table below, the amount, if any, of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awarded to officers, directors, employees and consultants following stockholder approval of this proposal is determined from time to time by our Board, as applicable, and is not presently determinable. Each non-employee director is expected to receive an annual stock option and RSU grant in December 2023 in an aggregate amount equal to $250,000.</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1" w:name="page52"/>
    <w:bookmarkEnd w:id="51"/>
    <w:tbl>
      <w:tblPr>
        <w:tblLayout w:type="fixed"/>
        <w:tblInd w:w="300" w:type="dxa"/>
        <w:tblCellMar>
          <w:top w:w="0" w:type="dxa"/>
          <w:left w:w="0" w:type="dxa"/>
          <w:bottom w:w="0" w:type="dxa"/>
          <w:right w:w="0" w:type="dxa"/>
        </w:tblCellMar>
      </w:tblPr>
      <w:tr>
        <w:trPr>
          <w:trHeight w:val="161"/>
        </w:trPr>
        <w:tc>
          <w:tcPr>
            <w:tcW w:w="478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Dollar Value</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3"/>
                <w:szCs w:val="13"/>
                <w:color w:val="auto"/>
              </w:rPr>
            </w:pPr>
          </w:p>
        </w:tc>
        <w:tc>
          <w:tcPr>
            <w:tcW w:w="1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7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Underlying Awards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Craig Collard, Chief Executive Officer</w:t>
            </w:r>
            <w:r>
              <w:rPr>
                <w:rFonts w:ascii="Times New Roman" w:cs="Times New Roman" w:eastAsia="Times New Roman" w:hAnsi="Times New Roman"/>
                <w:sz w:val="19"/>
                <w:szCs w:val="19"/>
                <w:color w:val="auto"/>
                <w:vertAlign w:val="superscript"/>
              </w:rPr>
              <w:t>(2)</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547,273</w:t>
            </w:r>
          </w:p>
        </w:tc>
        <w:tc>
          <w:tcPr>
            <w:tcW w:w="240" w:type="dxa"/>
            <w:vAlign w:val="bottom"/>
            <w:shd w:val="clear" w:color="auto" w:fill="CFF0FC"/>
          </w:tcPr>
          <w:p>
            <w:pPr>
              <w:spacing w:after="0"/>
              <w:rPr>
                <w:sz w:val="14"/>
                <w:szCs w:val="14"/>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7,537,879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Kimberly Manhard, Executive Vice President, Drug Development</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David Szekeres, Executive Vice President, Chief Operating Officer</w:t>
            </w:r>
          </w:p>
        </w:tc>
        <w:tc>
          <w:tcPr>
            <w:tcW w:w="3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All current executive officers as a group</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547,273</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7,537,879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4"/>
                <w:szCs w:val="14"/>
                <w:color w:val="auto"/>
              </w:rPr>
              <w:t>All current directors who are not executive officers as a group</w:t>
            </w:r>
            <w:r>
              <w:rPr>
                <w:rFonts w:ascii="Times New Roman" w:cs="Times New Roman" w:eastAsia="Times New Roman" w:hAnsi="Times New Roman"/>
                <w:sz w:val="19"/>
                <w:szCs w:val="19"/>
                <w:color w:val="auto"/>
                <w:vertAlign w:val="superscript"/>
              </w:rPr>
              <w:t>(3)</w:t>
            </w:r>
          </w:p>
        </w:tc>
        <w:tc>
          <w:tcPr>
            <w:tcW w:w="3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204,547</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530,302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7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All current employees, including all officers who are not executive officers, as a</w:t>
            </w:r>
          </w:p>
        </w:tc>
        <w:tc>
          <w:tcPr>
            <w:tcW w:w="3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group</w:t>
            </w:r>
          </w:p>
        </w:tc>
        <w:tc>
          <w:tcPr>
            <w:tcW w:w="36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 The dollar value represents the grant date fair value of the restricted stock units.</w:t>
      </w:r>
    </w:p>
    <w:p>
      <w:pPr>
        <w:spacing w:after="0" w:line="4" w:lineRule="exact"/>
        <w:rPr>
          <w:sz w:val="20"/>
          <w:szCs w:val="20"/>
          <w:color w:val="auto"/>
        </w:rPr>
      </w:pPr>
    </w:p>
    <w:p>
      <w:pPr>
        <w:ind w:left="300" w:right="319"/>
        <w:spacing w:after="0" w:line="221" w:lineRule="auto"/>
        <w:rPr>
          <w:sz w:val="20"/>
          <w:szCs w:val="20"/>
          <w:color w:val="auto"/>
        </w:rPr>
      </w:pPr>
      <w:r>
        <w:rPr>
          <w:rFonts w:ascii="Times New Roman" w:cs="Times New Roman" w:eastAsia="Times New Roman" w:hAnsi="Times New Roman"/>
          <w:sz w:val="14"/>
          <w:szCs w:val="14"/>
          <w:color w:val="auto"/>
        </w:rPr>
        <w:t>(2)The number of shares includes: a new hire grant of 3,000,000 stock options with an exercise price of $1.78 per share, 4,250,000 performance stock options with an exercise price of $1.78 per share, and 250,000 restricted stock units granted on April 3, 2023, as well as a new director grant of 37,879 restricted stock units granted on February 22, 2023.</w:t>
      </w:r>
    </w:p>
    <w:p>
      <w:pPr>
        <w:spacing w:after="0" w:line="1" w:lineRule="exact"/>
        <w:rPr>
          <w:sz w:val="20"/>
          <w:szCs w:val="20"/>
          <w:color w:val="auto"/>
        </w:rPr>
      </w:pPr>
    </w:p>
    <w:p>
      <w:pPr>
        <w:ind w:left="300" w:right="499" w:hanging="8"/>
        <w:spacing w:after="0" w:line="239" w:lineRule="auto"/>
        <w:tabs>
          <w:tab w:leader="none" w:pos="50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includes: new director grants of 227,272 stock options with an exercise price of $2.70 per share and 37,879 restricted stock units granted on February 22, 2023.</w:t>
      </w:r>
    </w:p>
    <w:p>
      <w:pPr>
        <w:spacing w:after="0" w:line="138" w:lineRule="exact"/>
        <w:rPr>
          <w:sz w:val="20"/>
          <w:szCs w:val="20"/>
          <w:color w:val="auto"/>
        </w:rPr>
      </w:pPr>
    </w:p>
    <w:p>
      <w:pPr>
        <w:ind w:left="300" w:right="77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SEC Registration</w:t>
      </w:r>
      <w:r>
        <w:rPr>
          <w:rFonts w:ascii="Times New Roman" w:cs="Times New Roman" w:eastAsia="Times New Roman" w:hAnsi="Times New Roman"/>
          <w:sz w:val="18"/>
          <w:szCs w:val="18"/>
          <w:color w:val="auto"/>
        </w:rPr>
        <w:t>. We intend to file with the SEC a registration statement on Form S-8 covering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reserved for issuance under the 2007 Plan in the second half of 2023.</w:t>
      </w:r>
    </w:p>
    <w:p>
      <w:pPr>
        <w:spacing w:after="0" w:line="118" w:lineRule="exact"/>
        <w:rPr>
          <w:sz w:val="20"/>
          <w:szCs w:val="20"/>
          <w:color w:val="auto"/>
        </w:rPr>
      </w:pPr>
    </w:p>
    <w:p>
      <w:pPr>
        <w:ind w:left="300" w:right="339" w:firstLine="441"/>
        <w:spacing w:after="0" w:line="277" w:lineRule="auto"/>
        <w:rPr>
          <w:sz w:val="20"/>
          <w:szCs w:val="20"/>
          <w:color w:val="auto"/>
        </w:rPr>
      </w:pPr>
      <w:r>
        <w:rPr>
          <w:rFonts w:ascii="Times New Roman" w:cs="Times New Roman" w:eastAsia="Times New Roman" w:hAnsi="Times New Roman"/>
          <w:sz w:val="17"/>
          <w:szCs w:val="17"/>
          <w:i w:val="1"/>
          <w:iCs w:val="1"/>
          <w:color w:val="auto"/>
        </w:rPr>
        <w:t>Federal Income Tax Consequences</w:t>
      </w:r>
      <w:r>
        <w:rPr>
          <w:rFonts w:ascii="Times New Roman" w:cs="Times New Roman" w:eastAsia="Times New Roman" w:hAnsi="Times New Roman"/>
          <w:sz w:val="17"/>
          <w:szCs w:val="17"/>
          <w:color w:val="auto"/>
        </w:rPr>
        <w:t>. The following is a general summary of the federal income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consequences of the issuance and exercise of options or other awards under the 2007 Plan. This summary includes general tax principles that apply only to employees who are citizens or residents of the United States and is provided only for general information purposes. The following discussion does not address the tax consequences of Awards that may be subject to and do not comply with the rules and guidance issued pursuant to Section 409A of the Code.</w:t>
      </w:r>
    </w:p>
    <w:p>
      <w:pPr>
        <w:spacing w:after="0" w:line="143" w:lineRule="exact"/>
        <w:rPr>
          <w:sz w:val="20"/>
          <w:szCs w:val="20"/>
          <w:color w:val="auto"/>
        </w:rPr>
      </w:pPr>
    </w:p>
    <w:p>
      <w:pPr>
        <w:ind w:left="300" w:right="499" w:firstLine="441"/>
        <w:spacing w:after="0" w:line="256" w:lineRule="auto"/>
        <w:rPr>
          <w:sz w:val="20"/>
          <w:szCs w:val="20"/>
          <w:color w:val="auto"/>
        </w:rPr>
      </w:pPr>
      <w:r>
        <w:rPr>
          <w:rFonts w:ascii="Times New Roman" w:cs="Times New Roman" w:eastAsia="Times New Roman" w:hAnsi="Times New Roman"/>
          <w:sz w:val="18"/>
          <w:szCs w:val="18"/>
          <w:color w:val="auto"/>
        </w:rPr>
        <w:t>The following discussion does not purport to be complete, and does not cover, among other things, state and local tax treatment of participants in the 2007 Plan. Tax laws are complex and subject to change and may vary depending on individual circumstances and from locality to locality. The summary does not discuss all aspects of income taxation that may be relevant in light of personal investment circumstances. This summarized tax information is not tax advice and participants should consult their personal tax advisors concerning federal, state, local and foreign income tax consequences associated with their participation in the 2007 Plan.</w:t>
      </w:r>
    </w:p>
    <w:p>
      <w:pPr>
        <w:spacing w:after="0" w:line="145" w:lineRule="exact"/>
        <w:rPr>
          <w:sz w:val="20"/>
          <w:szCs w:val="20"/>
          <w:color w:val="auto"/>
        </w:rPr>
      </w:pPr>
    </w:p>
    <w:p>
      <w:pPr>
        <w:ind w:left="300" w:right="29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grant of an incentive stock option has no federal income tax effect on the optionee.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the optionee does not recognize income for “regular” tax purposes. However, the excess of the fair market value of the stock subject to an option over the exercise price of such option (the “option spread”) is includible in the optionee’s “alternative minimum taxable income” for purposes of the alternative minimum tax. If the optionee does not dispose of the stock acquired upon exercise of an incentive stock option until more than two years after the option grant date and more than one year after exercise of the option, any gain (or loss) upon sale of the shares will be a long-term capital gain (or loss). If shares are sold or otherwise disposed of before these periods have expired (a “disqualifying disposition”), the option spread at the time of exercise of the option (but not more than the amount of the gain on the sale or other disposition) is ordinary income in the year of such sale or other disposition. If gain on a disqualifying disposition exceeds the amount treated as ordinary income, the excess is taxable as capital gain (which will be long-term capital gain if the shares have been held more than one year after the date of exercise of the option). We are not entitled to a federal income tax deduction in connection with incentive stock options, except to the extent that the optionee has taxable ordinary income on a disqualifying disposition.</w:t>
      </w:r>
    </w:p>
    <w:p>
      <w:pPr>
        <w:spacing w:after="0" w:line="149" w:lineRule="exact"/>
        <w:rPr>
          <w:sz w:val="20"/>
          <w:szCs w:val="20"/>
          <w:color w:val="auto"/>
        </w:rPr>
      </w:pPr>
    </w:p>
    <w:p>
      <w:pPr>
        <w:ind w:left="300" w:right="319" w:firstLine="441"/>
        <w:spacing w:after="0" w:line="253" w:lineRule="auto"/>
        <w:rPr>
          <w:sz w:val="20"/>
          <w:szCs w:val="20"/>
          <w:color w:val="auto"/>
        </w:rPr>
      </w:pPr>
      <w:r>
        <w:rPr>
          <w:rFonts w:ascii="Times New Roman" w:cs="Times New Roman" w:eastAsia="Times New Roman" w:hAnsi="Times New Roman"/>
          <w:sz w:val="18"/>
          <w:szCs w:val="18"/>
          <w:color w:val="auto"/>
        </w:rPr>
        <w:t>The grant of a non-statutory option having an exercise price equal to at least the grant date fair market value of our common stock has no federal income tax effect on the optionee. Upon the exercise of a non-statutory option, the optionee has taxable ordinary income (and we are entitled to a corresponding deduction) equal to the option spread on the date of exercise. Upon the disposition of stock acquired upon exercise of a non-statutory stock option, the optionee recognizes either long-term or short-term capital gain or loss, depending on how long the stock was held, on any difference between the sale price and the exercise price, to the extent not recognized as taxable income on the date of exercise. We may allow non-statutory stock options to be transferred subject to conditions and restrictions imposed by the Administrator; special tax rules may apply on such a transfer. In the case of both incentive stock options and non-statutory stock options, special federal income tax rules apply if our common stock is used to pay all or part of the option price, and different rules than those described above will apply if unvested shares are purchased on exercise of the option.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52" w:name="page53"/>
    <w:bookmarkEnd w:id="52"/>
    <w:p>
      <w:pPr>
        <w:ind w:left="300" w:right="39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No taxable income is reportable when a stock appreciation right is granted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Upon exercise, the participant will recognize ordinary income in an amount equal to the amount of cash received and the fair market value of any shares received. Any additional gain or loss recognized upon any later disposition of the shares would be capital gain or loss, which will be either long-term or short-term capital gain or loss, depending on how long the stock was held. We are entitled to a deduction in the same amount as and at the time the employee recognizes ordinary income.</w:t>
      </w:r>
    </w:p>
    <w:p>
      <w:pPr>
        <w:spacing w:after="0" w:line="142" w:lineRule="exact"/>
        <w:rPr>
          <w:sz w:val="20"/>
          <w:szCs w:val="20"/>
          <w:color w:val="auto"/>
        </w:rPr>
      </w:pPr>
    </w:p>
    <w:p>
      <w:pPr>
        <w:ind w:left="300" w:right="399"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Shares issued under a restricted stock award are subject to a “substantial risk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forfeiture” within the meaning of Section 83 of the Code to the extent, among other restrictions, the shares will be forfeited in the event that the participant ceases to provide services to us and are not transferable. As a result of this substantial risk of forfeiture, the participant will not recognize ordinary income at the time the award shares are issued. Instead, the participant will recognize ordinary income on the dates when the stock is no longer subject to a substantial risk of forfeiture, or when the stock becomes transferable, if earlier. The participant’s ordinary income is measured as the excess, if any, of the fair market value of the stock on the date the stock is no longer subject to forfeiture over the amount paid for the stock.</w:t>
      </w:r>
    </w:p>
    <w:p>
      <w:pPr>
        <w:spacing w:after="0" w:line="160" w:lineRule="exact"/>
        <w:rPr>
          <w:sz w:val="20"/>
          <w:szCs w:val="20"/>
          <w:color w:val="auto"/>
        </w:rPr>
      </w:pPr>
    </w:p>
    <w:p>
      <w:pPr>
        <w:ind w:left="300" w:right="459" w:firstLine="441"/>
        <w:spacing w:after="0" w:line="255" w:lineRule="auto"/>
        <w:rPr>
          <w:sz w:val="20"/>
          <w:szCs w:val="20"/>
          <w:color w:val="auto"/>
        </w:rPr>
      </w:pPr>
      <w:r>
        <w:rPr>
          <w:rFonts w:ascii="Times New Roman" w:cs="Times New Roman" w:eastAsia="Times New Roman" w:hAnsi="Times New Roman"/>
          <w:sz w:val="18"/>
          <w:szCs w:val="18"/>
          <w:color w:val="auto"/>
        </w:rPr>
        <w:t>The participant may accelerate his or her recognition of ordinary income, if any, and begin his or her capital gains holding period by timely filing (i.e., not later than thirty days after the share issuance date) an election pursuant to Section 83(b) of the Code. In such event, the ordinary income recognized, if any, is measured as the excess, if any, of the fair market value of the stock on the date of such issuance over the amount paid for the stock, and the capital gain holding period commences on such date. The ordinary income recognized by a participant will be subject to tax withholding by us. We are entitled to a deduction in the same amount as and at the time the participant recognizes ordinary income.</w:t>
      </w:r>
    </w:p>
    <w:p>
      <w:pPr>
        <w:spacing w:after="0" w:line="146" w:lineRule="exact"/>
        <w:rPr>
          <w:sz w:val="20"/>
          <w:szCs w:val="20"/>
          <w:color w:val="auto"/>
        </w:rPr>
      </w:pPr>
    </w:p>
    <w:p>
      <w:pPr>
        <w:ind w:left="300" w:right="33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 participant will generally not recognize taxable income at the time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of a restricted stock unit award. When an award is paid (assuming the award is settled at the time that the award vests), the participant will recognize ordinary income. In the event of an award that is settled in shares of our common stock at a time following the vesting date, income tax may be deferred beyond vesting and until shares are actually delivered to the participant if deferred in compliance with the timing of distributions and other requirements under Section 409A of the Code. We are entitled to a deduction in the same amount as and at the time the participant recognizes ordinary income.</w:t>
      </w:r>
    </w:p>
    <w:p>
      <w:pPr>
        <w:spacing w:after="0" w:line="144" w:lineRule="exact"/>
        <w:rPr>
          <w:sz w:val="20"/>
          <w:szCs w:val="20"/>
          <w:color w:val="auto"/>
        </w:rPr>
      </w:pPr>
    </w:p>
    <w:p>
      <w:pPr>
        <w:ind w:left="300" w:right="359" w:firstLine="441"/>
        <w:spacing w:after="0" w:line="266" w:lineRule="auto"/>
        <w:rPr>
          <w:sz w:val="20"/>
          <w:szCs w:val="20"/>
          <w:color w:val="auto"/>
        </w:rPr>
      </w:pPr>
      <w:r>
        <w:rPr>
          <w:rFonts w:ascii="Times New Roman" w:cs="Times New Roman" w:eastAsia="Times New Roman" w:hAnsi="Times New Roman"/>
          <w:sz w:val="18"/>
          <w:szCs w:val="18"/>
          <w:color w:val="auto"/>
        </w:rPr>
        <w:t>Section 409A covers most programs that defer the receipt of compensation to a succeeding year. It provides rules for elections to defer, if any, and for timing of payouts. There are significant penalties placed on the participant for failure to comply with Section 409A.</w:t>
      </w:r>
    </w:p>
    <w:p>
      <w:pPr>
        <w:spacing w:after="0" w:line="135" w:lineRule="exact"/>
        <w:rPr>
          <w:sz w:val="20"/>
          <w:szCs w:val="20"/>
          <w:color w:val="auto"/>
        </w:rPr>
      </w:pPr>
    </w:p>
    <w:p>
      <w:pPr>
        <w:ind w:left="300" w:right="319" w:firstLine="441"/>
        <w:spacing w:after="0" w:line="256" w:lineRule="auto"/>
        <w:rPr>
          <w:sz w:val="20"/>
          <w:szCs w:val="20"/>
          <w:color w:val="auto"/>
        </w:rPr>
      </w:pPr>
      <w:r>
        <w:rPr>
          <w:rFonts w:ascii="Times New Roman" w:cs="Times New Roman" w:eastAsia="Times New Roman" w:hAnsi="Times New Roman"/>
          <w:sz w:val="18"/>
          <w:szCs w:val="18"/>
          <w:color w:val="auto"/>
        </w:rPr>
        <w:t>Section 409A does not apply to incentive stock options, non-statutory stock options that have an exercise price that is at least equal to the grant date fair market value and meet certain other requirements, restricted stock and restricted stock unit type awards provided there is no deferral of income beyond the vesting date. Section 409A also does not cover stock appreciation rights if the exercise price is not less than the fair market value of the underlying stock on the date of grant, the rights are settled in such stock and no features defer the recognition of income beyond the exercise date.</w:t>
      </w:r>
    </w:p>
    <w:p>
      <w:pPr>
        <w:spacing w:after="0" w:line="145" w:lineRule="exact"/>
        <w:rPr>
          <w:sz w:val="20"/>
          <w:szCs w:val="20"/>
          <w:color w:val="auto"/>
        </w:rPr>
      </w:pPr>
    </w:p>
    <w:p>
      <w:pPr>
        <w:ind w:left="300" w:right="359"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Tax Effect for the Company</w:t>
      </w:r>
      <w:r>
        <w:rPr>
          <w:rFonts w:ascii="Times New Roman" w:cs="Times New Roman" w:eastAsia="Times New Roman" w:hAnsi="Times New Roman"/>
          <w:sz w:val="18"/>
          <w:szCs w:val="18"/>
          <w:color w:val="auto"/>
        </w:rPr>
        <w:t>. Generally, we will be entitled to a tax deduction in connection with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2007 Plan in an amount equal to the ordinary income realized by a participant and at the time the participant recognizes such income (for example, upon the exercise of a non-statutory stock option). Special rules limit the deductibility of compensation paid to our Chief Executive Officer and to certain of our other most highly compensated executive officers. Under Section 162(m) of the Code, the annual compensation paid to any of these specified executives will be deductible only to the extent that it does not exceed $1,000,000. The Compensation Committee believes that stockholder interests are best served by not restricting the Compensation Committee’s discretion and flexibility in structuring compensation programs, even if such compensation results in non-deductible expenses under applicable law.</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89" w:lineRule="exact"/>
        <w:rPr>
          <w:sz w:val="20"/>
          <w:szCs w:val="20"/>
          <w:color w:val="auto"/>
        </w:rPr>
      </w:pPr>
    </w:p>
    <w:p>
      <w:pPr>
        <w:ind w:left="300" w:right="299" w:firstLine="441"/>
        <w:spacing w:after="0" w:line="255" w:lineRule="auto"/>
        <w:rPr>
          <w:sz w:val="20"/>
          <w:szCs w:val="20"/>
          <w:color w:val="auto"/>
        </w:rPr>
      </w:pPr>
      <w:r>
        <w:rPr>
          <w:rFonts w:ascii="Times New Roman" w:cs="Times New Roman" w:eastAsia="Times New Roman" w:hAnsi="Times New Roman"/>
          <w:sz w:val="18"/>
          <w:szCs w:val="18"/>
          <w:color w:val="auto"/>
        </w:rPr>
        <w:t>The proposal to amend our 2007 Plan requires the affirmative vote of a majority of the votes properly cast on the proposal, provided a quorum is established. We have been advised by the NYSE that approval of the amendment to our 2007 Plan will be considered a “non-routine” matter under NYSE rules. Therefore, if you are a beneficial owner and do not give your broker, bank or other agent voting instructions, the institution that holds your shares may not have discretionary authority to vote your shares with respect to this proposal. Accordingly, assuming this proposal is deemed to be a “non-routine” matter under NYSE rules as we have been advised by the NYSE, abstentions and broker non-votes will have no effect on the outcome of this proposal.</w:t>
      </w:r>
    </w:p>
    <w:p>
      <w:pPr>
        <w:spacing w:after="0" w:line="158" w:lineRule="exact"/>
        <w:rPr>
          <w:sz w:val="20"/>
          <w:szCs w:val="20"/>
          <w:color w:val="auto"/>
        </w:rPr>
      </w:pPr>
    </w:p>
    <w:p>
      <w:pPr>
        <w:jc w:val="cente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amendment to our 2007 Plan to increase the number of shares of common stock authorized for issuance thereunder from 30,700,000 to 39,190,000.</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6 — AMENDMENT OF ESPP</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left="300" w:right="439" w:firstLine="441"/>
        <w:spacing w:after="0" w:line="282" w:lineRule="auto"/>
        <w:rPr>
          <w:sz w:val="20"/>
          <w:szCs w:val="20"/>
          <w:color w:val="auto"/>
        </w:rPr>
      </w:pPr>
      <w:r>
        <w:rPr>
          <w:rFonts w:ascii="Times New Roman" w:cs="Times New Roman" w:eastAsia="Times New Roman" w:hAnsi="Times New Roman"/>
          <w:sz w:val="18"/>
          <w:szCs w:val="18"/>
          <w:color w:val="auto"/>
        </w:rPr>
        <w:t>At the Annual Meeting, stockholders will vote to approve an amendment to our ESPP to increase the number of shares of common stock authorized for issuance thereunder from 1,825,000 to 2,225,000.</w:t>
      </w:r>
    </w:p>
    <w:p>
      <w:pPr>
        <w:spacing w:after="0" w:line="135" w:lineRule="exact"/>
        <w:rPr>
          <w:sz w:val="20"/>
          <w:szCs w:val="20"/>
          <w:color w:val="auto"/>
        </w:rPr>
      </w:pPr>
    </w:p>
    <w:p>
      <w:pPr>
        <w:ind w:left="300" w:right="319" w:firstLine="441"/>
        <w:spacing w:after="0" w:line="258" w:lineRule="auto"/>
        <w:rPr>
          <w:sz w:val="20"/>
          <w:szCs w:val="20"/>
          <w:color w:val="auto"/>
        </w:rPr>
      </w:pPr>
      <w:r>
        <w:rPr>
          <w:rFonts w:ascii="Times New Roman" w:cs="Times New Roman" w:eastAsia="Times New Roman" w:hAnsi="Times New Roman"/>
          <w:sz w:val="18"/>
          <w:szCs w:val="18"/>
          <w:color w:val="auto"/>
        </w:rPr>
        <w:t>The ESPP permits the Company’s employees to purchase our common stock at a discounted price. This plan is designed to encourage and assist employees of the Company to acquire an equity interest in the Company through the purchase of shares of our common stock. Subject to stockholder approval, our Compensation Committee has approved the amendment to the ESPP to increase the shares of common stock available for issuance thereunder by 400,000.</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Seeking Share Increase</w:t>
      </w:r>
    </w:p>
    <w:p>
      <w:pPr>
        <w:spacing w:after="0" w:line="189"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color w:val="auto"/>
        </w:rPr>
        <w:t>The Board believes that equity-based compensation is a critical part of the Company’s compensation program. Our Compensation Committee acts as administrator for our ESPP pursuant to authority delegated by the Board. Stockholder approval of the amendment to the ESPP would allow us to continue to offer shares under the ESPP as a means of allowing employees to invest a portion of their cash compensation in our common stock, which fosters ownership and encourages employees to focus on long-term growth in value. In 2020, 2021 and 2022, the Company issued a total of 193,841, 175,228 and 406,421 shares of common stock under the ESPP, respectively. As of the Record Date, 1,180,399 shares of common stock have been issued under the ESPP and 644,601 shares of common remained available for future issuance; if this proposal is approved, the ESPP would have 1,044,601 shares available for future issuance.</w:t>
      </w:r>
    </w:p>
    <w:p>
      <w:pPr>
        <w:spacing w:after="0" w:line="148" w:lineRule="exact"/>
        <w:rPr>
          <w:sz w:val="20"/>
          <w:szCs w:val="20"/>
          <w:color w:val="auto"/>
        </w:rPr>
      </w:pPr>
    </w:p>
    <w:p>
      <w:pPr>
        <w:ind w:left="300" w:right="319" w:firstLine="441"/>
        <w:spacing w:after="0" w:line="255" w:lineRule="auto"/>
        <w:rPr>
          <w:sz w:val="20"/>
          <w:szCs w:val="20"/>
          <w:color w:val="auto"/>
        </w:rPr>
      </w:pPr>
      <w:r>
        <w:rPr>
          <w:rFonts w:ascii="Times New Roman" w:cs="Times New Roman" w:eastAsia="Times New Roman" w:hAnsi="Times New Roman"/>
          <w:sz w:val="18"/>
          <w:szCs w:val="18"/>
          <w:color w:val="auto"/>
        </w:rPr>
        <w:t>The proposed additional 400,000 shares of common stock available for future issuance under the ESPP represents potential dilution of 0.3% as of December 31, 2022 (potential dilution for this purpose is determined by dividing the 400,000 additional shares by the total number of shares of the Company’s common stock outstanding as of December 31, 2022). The dilution attributable to the ESPP for 2022 was 0.3% (which was determined by dividing the number of shares issued under the ESPP during 2022 by the total number of shares of the Company’s common stock outstanding as of December 31, 2022). The Compensation Committee believes that this is a reasonable amount of potential dilution and appropriate for our industry and the practices of our peer companies.</w:t>
      </w:r>
    </w:p>
    <w:p>
      <w:pPr>
        <w:spacing w:after="0" w:line="148" w:lineRule="exact"/>
        <w:rPr>
          <w:sz w:val="20"/>
          <w:szCs w:val="20"/>
          <w:color w:val="auto"/>
        </w:rPr>
      </w:pPr>
    </w:p>
    <w:p>
      <w:pPr>
        <w:ind w:left="300" w:right="539" w:firstLine="441"/>
        <w:spacing w:after="0" w:line="258" w:lineRule="auto"/>
        <w:rPr>
          <w:sz w:val="20"/>
          <w:szCs w:val="20"/>
          <w:color w:val="auto"/>
        </w:rPr>
      </w:pPr>
      <w:r>
        <w:rPr>
          <w:rFonts w:ascii="Times New Roman" w:cs="Times New Roman" w:eastAsia="Times New Roman" w:hAnsi="Times New Roman"/>
          <w:sz w:val="18"/>
          <w:szCs w:val="18"/>
          <w:color w:val="auto"/>
        </w:rPr>
        <w:t>The Company believes the proposed additional shares of common stock would be sufficient to cover purchases under the ESPP for approximately one year. If stockholders do not approve this proposal, the Company will have 644,601 shares available for issuance under the ESPP. Given the significant increase in number of employees eligible to participate in the ESPP, this could limit the Company’s ability to offer this type of equity-based compensation plan to its employees in the future.</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ESPP</w:t>
      </w:r>
    </w:p>
    <w:p>
      <w:pPr>
        <w:spacing w:after="0" w:line="187" w:lineRule="exact"/>
        <w:rPr>
          <w:sz w:val="20"/>
          <w:szCs w:val="20"/>
          <w:color w:val="auto"/>
        </w:rPr>
      </w:pPr>
    </w:p>
    <w:p>
      <w:pPr>
        <w:jc w:val="both"/>
        <w:ind w:left="300" w:right="59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following is a summary of the principal features of the ESPP, as amended, together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tax implications with respect to the ESPP. The summary is qualified by reference to the full text of the ESPP, as amended, which is attached as Appendix B to this Proxy Statement.</w:t>
      </w:r>
    </w:p>
    <w:p>
      <w:pPr>
        <w:spacing w:after="0" w:line="173" w:lineRule="exact"/>
        <w:rPr>
          <w:sz w:val="20"/>
          <w:szCs w:val="20"/>
          <w:color w:val="auto"/>
        </w:rPr>
      </w:pPr>
    </w:p>
    <w:p>
      <w:pPr>
        <w:ind w:left="300" w:right="319" w:firstLine="441"/>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All employees, including executive officers, customarily employed more than 20 hours per week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more than five months per year by the Company or any designated subsidiary are eligible to participate in the ESPP as of the first semi-annual enrollment date following commencement of employment, unless the employee directly or indirectly (including through ownership of options) owns 5% or more of the combined voting power of the Company. As of the Record Date, the Company had 203 employees eligible to participate in the ESPP, compared to 300 eligible employees in the prior year. Participation in the ESPP terminates immediately when a participant ceases to be employed for any reason or otherwise becomes ineligible to participate. Participants may elect to make contributions to the ESPP up to a maximum of 10% of earnings. On the last trading date of April and October, the Company applies the funds then in each participant’s account to the purchase of shares common stock. The cost of each share of common stock purchased is 85% of the lower of the closing prices for common stock on: (i) the first trading day in the enrollment period in which the purchase is made; and (ii) the purchase date. The length of the offering period set by the ESPP may not exceed a maximum of 24 months, and is presently set at six months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5" w:name="page56"/>
    <w:bookmarkEnd w:id="55"/>
    <w:p>
      <w:pPr>
        <w:ind w:left="300" w:right="339"/>
        <w:spacing w:after="0" w:line="258" w:lineRule="auto"/>
        <w:rPr>
          <w:sz w:val="20"/>
          <w:szCs w:val="20"/>
          <w:color w:val="auto"/>
        </w:rPr>
      </w:pPr>
      <w:r>
        <w:rPr>
          <w:rFonts w:ascii="Times New Roman" w:cs="Times New Roman" w:eastAsia="Times New Roman" w:hAnsi="Times New Roman"/>
          <w:sz w:val="18"/>
          <w:szCs w:val="18"/>
          <w:color w:val="auto"/>
        </w:rPr>
        <w:t>by our Board. Enrollment dates are the first business day of May and November. The Board may limit the maximum number of shares that may be purchased by a participant during any enrollment period and may limit the length of the enrollment periods. No participant’s right to acquire shares may accrue at a rate exceeding $25,000 of the fair market value of our common stock in any calendar year. Shares of common stock available under the ESPP may be either outstanding shares repurchased by the Company or newly issued shares.</w:t>
      </w:r>
    </w:p>
    <w:p>
      <w:pPr>
        <w:spacing w:after="0" w:line="141" w:lineRule="exact"/>
        <w:rPr>
          <w:sz w:val="20"/>
          <w:szCs w:val="20"/>
          <w:color w:val="auto"/>
        </w:rPr>
      </w:pPr>
    </w:p>
    <w:p>
      <w:pPr>
        <w:ind w:left="300" w:right="35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Compensation Committee acts as administrator of the ESPP and may amend or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at any time and may provide for an adjustment in the purchase price and the number and kind of securities available under the plan in the event of a reorganization, recapitalization, stock split, or other certain similar events. However, amendments that would increase the number of shares reserved for purchase, would otherwise require stockholder approval in order to comply with Section 423 of the Code, other applicable laws, regulations or rules or with respect to which the Compensation Committee otherwise concludes that stockholder approval is advisable, require stockholder approval.</w:t>
      </w:r>
    </w:p>
    <w:p>
      <w:pPr>
        <w:spacing w:after="0" w:line="142" w:lineRule="exact"/>
        <w:rPr>
          <w:sz w:val="20"/>
          <w:szCs w:val="20"/>
          <w:color w:val="auto"/>
        </w:rPr>
      </w:pPr>
    </w:p>
    <w:p>
      <w:pPr>
        <w:ind w:left="300" w:right="49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Awards under the ESPP. </w:t>
      </w:r>
      <w:r>
        <w:rPr>
          <w:rFonts w:ascii="Times New Roman" w:cs="Times New Roman" w:eastAsia="Times New Roman" w:hAnsi="Times New Roman"/>
          <w:sz w:val="18"/>
          <w:szCs w:val="18"/>
          <w:color w:val="auto"/>
        </w:rPr>
        <w:t>The following table shows the number of shares of common stock applicable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individuals and groups under the ESPP since its inception. Our non-employee directors are not eligible to participate in the ESPP.</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r>
      <w:tr>
        <w:trPr>
          <w:trHeight w:val="16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Craig Collard, Chief Executive Officer</w:t>
            </w:r>
          </w:p>
        </w:tc>
        <w:tc>
          <w:tcPr>
            <w:tcW w:w="1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r>
      <w:tr>
        <w:trPr>
          <w:trHeight w:val="176"/>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Kimberly Manhard, Executive Vice President, Drug Development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7,449</w:t>
            </w:r>
          </w:p>
        </w:tc>
        <w:tc>
          <w:tcPr>
            <w:tcW w:w="80" w:type="dxa"/>
            <w:vAlign w:val="bottom"/>
          </w:tcPr>
          <w:p>
            <w:pPr>
              <w:spacing w:after="0"/>
              <w:rPr>
                <w:sz w:val="15"/>
                <w:szCs w:val="15"/>
                <w:color w:val="auto"/>
              </w:rPr>
            </w:pPr>
          </w:p>
        </w:tc>
      </w:tr>
      <w:tr>
        <w:trPr>
          <w:trHeight w:val="175"/>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David Szekeres, Executive Vice President, Chief Operating Officer</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11,063</w:t>
            </w:r>
          </w:p>
        </w:tc>
        <w:tc>
          <w:tcPr>
            <w:tcW w:w="80" w:type="dxa"/>
            <w:vAlign w:val="bottom"/>
            <w:shd w:val="clear" w:color="auto" w:fill="CFF0FC"/>
          </w:tcPr>
          <w:p>
            <w:pPr>
              <w:spacing w:after="0"/>
              <w:rPr>
                <w:sz w:val="15"/>
                <w:szCs w:val="15"/>
                <w:color w:val="auto"/>
              </w:rPr>
            </w:pPr>
          </w:p>
        </w:tc>
      </w:tr>
      <w:tr>
        <w:trPr>
          <w:trHeight w:val="176"/>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All current executive officers as a group</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18,512</w:t>
            </w:r>
          </w:p>
        </w:tc>
        <w:tc>
          <w:tcPr>
            <w:tcW w:w="80" w:type="dxa"/>
            <w:vAlign w:val="bottom"/>
          </w:tcPr>
          <w:p>
            <w:pPr>
              <w:spacing w:after="0"/>
              <w:rPr>
                <w:sz w:val="15"/>
                <w:szCs w:val="15"/>
                <w:color w:val="auto"/>
              </w:rPr>
            </w:pPr>
          </w:p>
        </w:tc>
      </w:tr>
      <w:tr>
        <w:trPr>
          <w:trHeight w:val="175"/>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Each associate of any directors, executive officers or nominees</w:t>
            </w: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Each other person who received or is to receive 5% of such options, warrants or rights</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All current employees, including all current officers who are not executive officers, as a group</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596,411</w:t>
            </w:r>
          </w:p>
        </w:tc>
        <w:tc>
          <w:tcPr>
            <w:tcW w:w="80" w:type="dxa"/>
            <w:vAlign w:val="bottom"/>
            <w:shd w:val="clear" w:color="auto" w:fill="CFF0FC"/>
          </w:tcPr>
          <w:p>
            <w:pPr>
              <w:spacing w:after="0"/>
              <w:rPr>
                <w:sz w:val="15"/>
                <w:szCs w:val="15"/>
                <w:color w:val="auto"/>
              </w:rPr>
            </w:pPr>
          </w:p>
        </w:tc>
      </w:tr>
    </w:tbl>
    <w:p>
      <w:pPr>
        <w:spacing w:after="0" w:line="385" w:lineRule="exact"/>
        <w:rPr>
          <w:sz w:val="20"/>
          <w:szCs w:val="20"/>
          <w:color w:val="auto"/>
        </w:rPr>
      </w:pPr>
    </w:p>
    <w:p>
      <w:pPr>
        <w:ind w:left="300" w:right="41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New Plan Benefits. </w:t>
      </w:r>
      <w:r>
        <w:rPr>
          <w:rFonts w:ascii="Times New Roman" w:cs="Times New Roman" w:eastAsia="Times New Roman" w:hAnsi="Times New Roman"/>
          <w:sz w:val="18"/>
          <w:szCs w:val="18"/>
          <w:color w:val="auto"/>
        </w:rPr>
        <w:t>Because purchase rights are subject to discretion, including an employee’s decision not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the ESPP, awards under the ESPP for the current and future fiscal years are not determinable. No purchase rights have been granted with respect to the additional 400,000 shares for which approval is requested.</w:t>
      </w:r>
    </w:p>
    <w:p>
      <w:pPr>
        <w:spacing w:after="0" w:line="133" w:lineRule="exact"/>
        <w:rPr>
          <w:sz w:val="20"/>
          <w:szCs w:val="20"/>
          <w:color w:val="auto"/>
        </w:rPr>
      </w:pPr>
    </w:p>
    <w:p>
      <w:pPr>
        <w:ind w:left="300" w:right="77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SEC Registration</w:t>
      </w:r>
      <w:r>
        <w:rPr>
          <w:rFonts w:ascii="Times New Roman" w:cs="Times New Roman" w:eastAsia="Times New Roman" w:hAnsi="Times New Roman"/>
          <w:sz w:val="18"/>
          <w:szCs w:val="18"/>
          <w:color w:val="auto"/>
        </w:rPr>
        <w:t>. We intend to file with the SEC a registration statement on Form S-8 covering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reserved for issuance under the ESPP in the second half of 2023.</w:t>
      </w:r>
    </w:p>
    <w:p>
      <w:pPr>
        <w:spacing w:after="0" w:line="118" w:lineRule="exact"/>
        <w:rPr>
          <w:sz w:val="20"/>
          <w:szCs w:val="20"/>
          <w:color w:val="auto"/>
        </w:rPr>
      </w:pPr>
    </w:p>
    <w:p>
      <w:pPr>
        <w:ind w:left="300" w:right="4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Federal Income Tax Consequences</w:t>
      </w:r>
      <w:r>
        <w:rPr>
          <w:rFonts w:ascii="Times New Roman" w:cs="Times New Roman" w:eastAsia="Times New Roman" w:hAnsi="Times New Roman"/>
          <w:sz w:val="18"/>
          <w:szCs w:val="18"/>
          <w:color w:val="auto"/>
        </w:rPr>
        <w:t>. The following general description of federal income tax consequences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current statutes, regulations and interpretations thereof. Because the applicable rules are complex and because income tax consequences may vary depending upon the individual circumstances of each participant, participants should consult their personal tax advisors concerning federal, state, local and foreign income tax consequences associated with their participation in the ESPP.</w:t>
      </w:r>
    </w:p>
    <w:p>
      <w:pPr>
        <w:spacing w:after="0" w:line="145" w:lineRule="exact"/>
        <w:rPr>
          <w:sz w:val="20"/>
          <w:szCs w:val="20"/>
          <w:color w:val="auto"/>
        </w:rPr>
      </w:pPr>
    </w:p>
    <w:p>
      <w:pPr>
        <w:ind w:left="300" w:right="359" w:firstLine="441"/>
        <w:spacing w:after="0" w:line="254" w:lineRule="auto"/>
        <w:rPr>
          <w:sz w:val="20"/>
          <w:szCs w:val="20"/>
          <w:color w:val="auto"/>
        </w:rPr>
      </w:pPr>
      <w:r>
        <w:rPr>
          <w:rFonts w:ascii="Times New Roman" w:cs="Times New Roman" w:eastAsia="Times New Roman" w:hAnsi="Times New Roman"/>
          <w:sz w:val="18"/>
          <w:szCs w:val="18"/>
          <w:color w:val="auto"/>
        </w:rPr>
        <w:t>In general, participants will not have taxable income or loss under the ESPP until they sell or otherwise dispose of shares acquired under the plan (or die holding such shares). If the shares are held, as of the date of sale or disposition, for longer than both: (i) two years after the beginning of the enrollment period during which the shares were purchased; and (ii) one year following purchase, a participant will have taxable ordinary income equal to 15% of the fair market value of the shares on the first day of the enrollment period (but not in excess of the fair market value of the shares at the time of sale over the purchase price). Any additional gain (or loss) from the sale will be long-term capital gain (or loss). The Company is not entitled to an income tax deduction if the holding periods are satisfied.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6" w:name="page57"/>
    <w:bookmarkEnd w:id="56"/>
    <w:p>
      <w:pPr>
        <w:ind w:left="300" w:right="399" w:firstLine="441"/>
        <w:spacing w:after="0" w:line="253" w:lineRule="auto"/>
        <w:rPr>
          <w:sz w:val="20"/>
          <w:szCs w:val="20"/>
          <w:color w:val="auto"/>
        </w:rPr>
      </w:pPr>
      <w:r>
        <w:rPr>
          <w:rFonts w:ascii="Times New Roman" w:cs="Times New Roman" w:eastAsia="Times New Roman" w:hAnsi="Times New Roman"/>
          <w:sz w:val="18"/>
          <w:szCs w:val="18"/>
          <w:color w:val="auto"/>
        </w:rPr>
        <w:t>If the shares are sold or disposed of before the expiration of either of the foregoing holding periods (a “disqualifying disposition”), a participant will have taxable ordinary income equal to the excess of the fair market value of the shares on the purchase date over the purchase price. In addition, the participant will have a taxable capital gain (or loss) measured by the difference between the sale price and the participant’s purchase price which gain (or loss) will be long-term if the shares have been held as of the date of sale for more than one year. The Company is entitled to an income tax deduction equal to the amount of ordinary income recognized by a participant in a disqualifying disposition. Special rules limit the deductibility of compensation paid to our Chief Executive Officer and to certain of our other most highly compensated executive officers. Under Section 162(m) of the Code, the annual compensation paid to any of these specified executives will be deductible only to the extent that it does not exceed $1,000,000.</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02" w:lineRule="exact"/>
        <w:rPr>
          <w:sz w:val="20"/>
          <w:szCs w:val="20"/>
          <w:color w:val="auto"/>
        </w:rPr>
      </w:pPr>
    </w:p>
    <w:p>
      <w:pPr>
        <w:ind w:left="300" w:right="379" w:firstLine="441"/>
        <w:spacing w:after="0" w:line="255" w:lineRule="auto"/>
        <w:rPr>
          <w:sz w:val="20"/>
          <w:szCs w:val="20"/>
          <w:color w:val="auto"/>
        </w:rPr>
      </w:pPr>
      <w:r>
        <w:rPr>
          <w:rFonts w:ascii="Times New Roman" w:cs="Times New Roman" w:eastAsia="Times New Roman" w:hAnsi="Times New Roman"/>
          <w:sz w:val="18"/>
          <w:szCs w:val="18"/>
          <w:color w:val="auto"/>
        </w:rPr>
        <w:t>The proposal to amend our ESPP requires the affirmative vote of a majority of the votes properly cast on the proposal, provided a quorum is established. We have been advised by the NYSE that approval of the amendment to our ESPP will be considered a “non-routine” matter under NYSE rules. Therefore, if you are a beneficial owner and do not give your broker, bank or other agent voting instructions, the institution that holds your shares may not have discretionary authority to vote your shares with respect to this proposal. Accordingly, assuming this proposal is deemed to be a “non-routine” matter under NYSE rules as we have been advised by the NYSE, abstentions and broker non-votes will have no effect on the outcome of this proposal.</w:t>
      </w:r>
    </w:p>
    <w:p>
      <w:pPr>
        <w:spacing w:after="0" w:line="144" w:lineRule="exact"/>
        <w:rPr>
          <w:sz w:val="20"/>
          <w:szCs w:val="20"/>
          <w:color w:val="auto"/>
        </w:rPr>
      </w:pPr>
    </w:p>
    <w:p>
      <w:pPr>
        <w:jc w:val="center"/>
        <w:ind w:left="1780"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amendment to our ESPP to increase the number of shares of common stock authorized for issuance thereunder from 1,825,000 to 2,225,000.</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300" w:right="419" w:firstLine="441"/>
        <w:spacing w:after="0" w:line="258" w:lineRule="auto"/>
        <w:rPr>
          <w:sz w:val="20"/>
          <w:szCs w:val="20"/>
          <w:color w:val="auto"/>
        </w:rPr>
      </w:pPr>
      <w:r>
        <w:rPr>
          <w:rFonts w:ascii="Times New Roman" w:cs="Times New Roman" w:eastAsia="Times New Roman" w:hAnsi="Times New Roman"/>
          <w:sz w:val="18"/>
          <w:szCs w:val="18"/>
          <w:color w:val="auto"/>
        </w:rPr>
        <w:t>As of the time of preparation of this Proxy Statement, neither our Board nor management intends to bring before the Annual Meeting any business other than the matters referred to in the Notice of Annual Meeting and this Proxy Statement. If any other business should properly come before the Annual Meeting, or any adjournment thereof, the persons named in the proxy will vote on such matters according to their best judgment and in their discretion.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25" w:lineRule="exact"/>
        <w:rPr>
          <w:sz w:val="20"/>
          <w:szCs w:val="20"/>
          <w:color w:val="auto"/>
        </w:rPr>
      </w:pPr>
    </w:p>
    <w:p>
      <w:pPr>
        <w:ind w:left="300" w:right="319"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Our Annual Report on Form 10-K for the year ended December 31, 2022 is being distributed along with this Proxy Statement. This Proxy Statement and our Annual Report on Form 10-K for the year ended December 31, 2022 are available to you at no charge electronically at </w:t>
      </w:r>
      <w:r>
        <w:rPr>
          <w:rFonts w:ascii="Times New Roman" w:cs="Times New Roman" w:eastAsia="Times New Roman" w:hAnsi="Times New Roman"/>
          <w:sz w:val="18"/>
          <w:szCs w:val="18"/>
          <w:b w:val="1"/>
          <w:bCs w:val="1"/>
          <w:i w:val="1"/>
          <w:iCs w:val="1"/>
          <w:color w:val="auto"/>
        </w:rPr>
        <w:t>http://www.proxyvote.com</w:t>
      </w:r>
      <w:r>
        <w:rPr>
          <w:rFonts w:ascii="Times New Roman" w:cs="Times New Roman" w:eastAsia="Times New Roman" w:hAnsi="Times New Roman"/>
          <w:sz w:val="18"/>
          <w:szCs w:val="18"/>
          <w:b w:val="1"/>
          <w:bCs w:val="1"/>
          <w:color w:val="auto"/>
        </w:rPr>
        <w:t>. Additional copies of the Annual Report on Form 10-K for the year ended December 31, 2022 are available at no charge on written request. To obtain additional copies of the Annual Report on Form 10-K for the year ended December 31, 2022, please contact us 4242 Campus Point Court, Suite 200, San Diego, CA 92121, Attention: David Szekeres, Executive Vice President, Chief Operating Officer.</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David Szekeres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24003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Szekeres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 2023</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8" w:name="page59"/>
    <w:bookmarkEnd w:id="58"/>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HERON THERAPEUTICS,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2007 EQUITY INCENTIVE PLAN</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 Purposes of the Plan.</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purpose of this Plan is to encourage ownership in Heron Therapeutics, Inc., a Delaware corporation (the</w:t>
      </w:r>
    </w:p>
    <w:p>
      <w:pPr>
        <w:spacing w:after="0" w:line="27" w:lineRule="exact"/>
        <w:rPr>
          <w:sz w:val="20"/>
          <w:szCs w:val="20"/>
          <w:color w:val="auto"/>
        </w:rPr>
      </w:pPr>
    </w:p>
    <w:p>
      <w:pPr>
        <w:ind w:left="300" w:right="63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by key personnel whose long-term employment or other service relationship with the Company is considered essential to the Company’s continued progress and, thereby, encourage recipients to act in the stockholders’ interest and share in the Company’s success.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 Definitions.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used herein, the following definitions shall apply:</w:t>
      </w:r>
    </w:p>
    <w:p>
      <w:pPr>
        <w:spacing w:after="0" w:line="181" w:lineRule="exact"/>
        <w:rPr>
          <w:sz w:val="20"/>
          <w:szCs w:val="20"/>
          <w:color w:val="auto"/>
        </w:rPr>
      </w:pPr>
    </w:p>
    <w:p>
      <w:pPr>
        <w:ind w:left="320" w:right="719" w:hanging="8"/>
        <w:spacing w:after="0" w:line="286" w:lineRule="auto"/>
        <w:tabs>
          <w:tab w:leader="none" w:pos="5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“Administrator” </w:t>
      </w:r>
      <w:r>
        <w:rPr>
          <w:rFonts w:ascii="Times New Roman" w:cs="Times New Roman" w:eastAsia="Times New Roman" w:hAnsi="Times New Roman"/>
          <w:sz w:val="18"/>
          <w:szCs w:val="18"/>
          <w:color w:val="auto"/>
        </w:rPr>
        <w:t>means the Board, any Committees or such delegates as shall be administering the Plan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4 of the Plan.</w:t>
      </w:r>
    </w:p>
    <w:p>
      <w:pPr>
        <w:spacing w:after="0" w:line="114" w:lineRule="exact"/>
        <w:rPr>
          <w:rFonts w:ascii="Times New Roman" w:cs="Times New Roman" w:eastAsia="Times New Roman" w:hAnsi="Times New Roman"/>
          <w:sz w:val="18"/>
          <w:szCs w:val="18"/>
          <w:color w:val="auto"/>
        </w:rPr>
      </w:pPr>
    </w:p>
    <w:p>
      <w:pPr>
        <w:ind w:left="320" w:right="479" w:hanging="8"/>
        <w:spacing w:after="0" w:line="286" w:lineRule="auto"/>
        <w:tabs>
          <w:tab w:leader="none" w:pos="5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any entity that is directly or indirectly controlled by the Company or any entity 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has a significant ownership interest as determined by the Administrator.</w:t>
      </w:r>
    </w:p>
    <w:p>
      <w:pPr>
        <w:spacing w:after="0" w:line="114" w:lineRule="exact"/>
        <w:rPr>
          <w:rFonts w:ascii="Times New Roman" w:cs="Times New Roman" w:eastAsia="Times New Roman" w:hAnsi="Times New Roman"/>
          <w:sz w:val="18"/>
          <w:szCs w:val="18"/>
          <w:color w:val="auto"/>
        </w:rPr>
      </w:pPr>
    </w:p>
    <w:p>
      <w:pPr>
        <w:ind w:left="320" w:right="319" w:hanging="8"/>
        <w:spacing w:after="0" w:line="259" w:lineRule="auto"/>
        <w:tabs>
          <w:tab w:leader="none" w:pos="5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“Applicable Laws” </w:t>
      </w:r>
      <w:r>
        <w:rPr>
          <w:rFonts w:ascii="Times New Roman" w:cs="Times New Roman" w:eastAsia="Times New Roman" w:hAnsi="Times New Roman"/>
          <w:sz w:val="18"/>
          <w:szCs w:val="18"/>
          <w:color w:val="auto"/>
        </w:rPr>
        <w:t>means the requirements relating to the administration of stock option and stock award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U.S. federal and state laws, any stock exchange or quotation system on which the Company has listed or submitted for quotation the Common Stock to the extent provided under the terms of the Company’s agreement with such exchange or quotation system and, with respect to Awards subject to the laws of any foreign jurisdiction where Awards are, or will be, granted under the Plan, the laws of such jurisdiction.</w:t>
      </w:r>
    </w:p>
    <w:p>
      <w:pPr>
        <w:spacing w:after="0" w:line="152"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means a Stock Award or Option granted in accordance with the terms of the Plan.</w:t>
      </w:r>
    </w:p>
    <w:p>
      <w:pPr>
        <w:spacing w:after="0" w:line="184" w:lineRule="exact"/>
        <w:rPr>
          <w:rFonts w:ascii="Times New Roman" w:cs="Times New Roman" w:eastAsia="Times New Roman" w:hAnsi="Times New Roman"/>
          <w:sz w:val="18"/>
          <w:szCs w:val="18"/>
          <w:color w:val="auto"/>
        </w:rPr>
      </w:pPr>
    </w:p>
    <w:p>
      <w:pPr>
        <w:ind w:left="320" w:right="439" w:hanging="8"/>
        <w:spacing w:after="0" w:line="286" w:lineRule="auto"/>
        <w:tabs>
          <w:tab w:leader="none" w:pos="5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“Awardee” </w:t>
      </w:r>
      <w:r>
        <w:rPr>
          <w:rFonts w:ascii="Times New Roman" w:cs="Times New Roman" w:eastAsia="Times New Roman" w:hAnsi="Times New Roman"/>
          <w:sz w:val="18"/>
          <w:szCs w:val="18"/>
          <w:color w:val="auto"/>
        </w:rPr>
        <w:t>means an Employee, Consultant or Director of the Company or any Affiliate who has been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Award under the Plan.</w:t>
      </w:r>
    </w:p>
    <w:p>
      <w:pPr>
        <w:spacing w:after="0" w:line="114" w:lineRule="exact"/>
        <w:rPr>
          <w:rFonts w:ascii="Times New Roman" w:cs="Times New Roman" w:eastAsia="Times New Roman" w:hAnsi="Times New Roman"/>
          <w:sz w:val="18"/>
          <w:szCs w:val="18"/>
          <w:color w:val="auto"/>
        </w:rPr>
      </w:pPr>
    </w:p>
    <w:p>
      <w:pPr>
        <w:ind w:left="320" w:right="519" w:hanging="8"/>
        <w:spacing w:after="0" w:line="262" w:lineRule="auto"/>
        <w:tabs>
          <w:tab w:leader="none" w:pos="5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Agreement” </w:t>
      </w:r>
      <w:r>
        <w:rPr>
          <w:rFonts w:ascii="Times New Roman" w:cs="Times New Roman" w:eastAsia="Times New Roman" w:hAnsi="Times New Roman"/>
          <w:sz w:val="18"/>
          <w:szCs w:val="18"/>
          <w:color w:val="auto"/>
        </w:rPr>
        <w:t>means a Stock Award Agreement and/or Option Agreement, which may be in written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format, in such form and with such terms and conditions as may be specified by the Administrator, evidencing the terms and conditions of an individual Award. Each Award Agreement is subject to the terms and conditions of the Plan.</w:t>
      </w:r>
    </w:p>
    <w:p>
      <w:pPr>
        <w:spacing w:after="0" w:line="135"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84" w:lineRule="exact"/>
        <w:rPr>
          <w:rFonts w:ascii="Times New Roman" w:cs="Times New Roman" w:eastAsia="Times New Roman" w:hAnsi="Times New Roman"/>
          <w:sz w:val="18"/>
          <w:szCs w:val="18"/>
          <w:color w:val="auto"/>
        </w:rPr>
      </w:pPr>
    </w:p>
    <w:p>
      <w:pPr>
        <w:ind w:left="320" w:right="319" w:hanging="8"/>
        <w:spacing w:after="0" w:line="252" w:lineRule="auto"/>
        <w:tabs>
          <w:tab w:leader="none" w:pos="5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means, unless such term or an equivalent term is otherwise defined with respect to an Award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Award Agreement, any of the following: (i) the Participant’s theft, dishonesty, willful misconduct, breach of fiduciary duty for personal profit, or falsification of any Company or Affiliate documents or records; (ii) the Participant’s material failure to abide by a Company’s or Affiliate’s code of conduct or other policies (including without limitation, policies relating to confidentiality and reasonable workplace conduct); (iii) the Participant’s unauthorized use, misappropriation, destruction or diversion of any tangible or intangible asset or corporate opportunity of the Company or an Affiliate (including, without limitation, the Participant’s improper use or disclosure of confidential or proprietary information); (iv) any intentional act by the Participant which has a material detrimental effect on the Company or an Affiliate’s reputation or business; (v) the Participant’s repeated failure or inability to perform any reasonable assigned duties after written notice from the Company or an Affiliate (including, without limitation, habitual absence from work for reasons other than illness), and a reasonable opportunity to cure, such failure or inability; (vi) any material breach by the Participant of any employment or service agreement between the Participant and the Company or an Affiliate,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the Company or an Affiliate.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9" w:name="page60"/>
    <w:bookmarkEnd w:id="59"/>
    <w:p>
      <w:pPr>
        <w:ind w:left="320" w:right="699" w:hanging="8"/>
        <w:spacing w:after="0" w:line="286" w:lineRule="auto"/>
        <w:tabs>
          <w:tab w:leader="none" w:pos="5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means, unless such term or an equivalent term is otherwise defined with respect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by the Participant’s Award Agreement, the occurrence of any of the following:</w:t>
      </w:r>
    </w:p>
    <w:p>
      <w:pPr>
        <w:spacing w:after="0" w:line="114" w:lineRule="exact"/>
        <w:rPr>
          <w:sz w:val="20"/>
          <w:szCs w:val="20"/>
          <w:color w:val="auto"/>
        </w:rPr>
      </w:pPr>
    </w:p>
    <w:p>
      <w:pPr>
        <w:ind w:left="360" w:right="419"/>
        <w:spacing w:after="0" w:line="255" w:lineRule="auto"/>
        <w:rPr>
          <w:sz w:val="20"/>
          <w:szCs w:val="20"/>
          <w:color w:val="auto"/>
        </w:rPr>
      </w:pPr>
      <w:r>
        <w:rPr>
          <w:rFonts w:ascii="Times New Roman" w:cs="Times New Roman" w:eastAsia="Times New Roman" w:hAnsi="Times New Roman"/>
          <w:sz w:val="18"/>
          <w:szCs w:val="18"/>
          <w:color w:val="auto"/>
        </w:rPr>
        <w:t>i. an Ownership Change Event or a series of related Ownership Change Events (collectively,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in which the stockholders of the Company immediately before the Transaction do not retain immediately after the Transaction, in substantially the same proportions as their ownership of shares of the Company’s voting stock immediately before the Transaction, direct or indirect beneficial ownership of more than fifty percent (50%) of the total combined voting power of the outstanding voting securities of the Company or such surviving entity immediately outstanding after the Transaction, or, in the case of an Ownership Change Event described in Section 2(bb)(iii), the entity to which the assets of the Company were transferred (the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 as the case may be; or</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ii. the liquidation or dissolution of the Company.</w:t>
      </w:r>
    </w:p>
    <w:p>
      <w:pPr>
        <w:spacing w:after="0" w:line="185" w:lineRule="exact"/>
        <w:rPr>
          <w:sz w:val="20"/>
          <w:szCs w:val="20"/>
          <w:color w:val="auto"/>
        </w:rPr>
      </w:pPr>
    </w:p>
    <w:p>
      <w:pPr>
        <w:ind w:left="360" w:right="359"/>
        <w:spacing w:after="0" w:line="255" w:lineRule="auto"/>
        <w:rPr>
          <w:sz w:val="20"/>
          <w:szCs w:val="20"/>
          <w:color w:val="auto"/>
        </w:rPr>
      </w:pPr>
      <w:r>
        <w:rPr>
          <w:rFonts w:ascii="Times New Roman" w:cs="Times New Roman" w:eastAsia="Times New Roman" w:hAnsi="Times New Roman"/>
          <w:sz w:val="18"/>
          <w:szCs w:val="18"/>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Board shall have the right to determine whether multiple sales or exchanges of the voting securities in the Company or multiple Ownership Change Events are related, and its determination shall be final, binding and conclusive. The Board may also, but need not, specify that other transactions or events constitute a Change in Control.</w:t>
      </w:r>
    </w:p>
    <w:p>
      <w:pPr>
        <w:spacing w:after="0" w:line="144" w:lineRule="exact"/>
        <w:rPr>
          <w:sz w:val="20"/>
          <w:szCs w:val="20"/>
          <w:color w:val="auto"/>
        </w:rPr>
      </w:pPr>
    </w:p>
    <w:p>
      <w:pPr>
        <w:ind w:left="520" w:hanging="208"/>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means the United States Internal Revenue Code of 1986, as amended.</w:t>
      </w:r>
    </w:p>
    <w:p>
      <w:pPr>
        <w:spacing w:after="0" w:line="184" w:lineRule="exact"/>
        <w:rPr>
          <w:rFonts w:ascii="Times New Roman" w:cs="Times New Roman" w:eastAsia="Times New Roman" w:hAnsi="Times New Roman"/>
          <w:sz w:val="18"/>
          <w:szCs w:val="18"/>
          <w:color w:val="auto"/>
        </w:rPr>
      </w:pPr>
    </w:p>
    <w:p>
      <w:pPr>
        <w:ind w:left="320" w:right="579" w:hanging="8"/>
        <w:spacing w:after="0" w:line="286" w:lineRule="auto"/>
        <w:tabs>
          <w:tab w:leader="none" w:pos="5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means the compensation committee of the Board or a committee of Directors appointed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in accordance with Section 4 of the Plan.</w:t>
      </w:r>
    </w:p>
    <w:p>
      <w:pPr>
        <w:spacing w:after="0" w:line="114" w:lineRule="exact"/>
        <w:rPr>
          <w:rFonts w:ascii="Times New Roman" w:cs="Times New Roman" w:eastAsia="Times New Roman" w:hAnsi="Times New Roman"/>
          <w:sz w:val="18"/>
          <w:szCs w:val="18"/>
          <w:color w:val="auto"/>
        </w:rPr>
      </w:pPr>
    </w:p>
    <w:p>
      <w:pPr>
        <w:ind w:left="520" w:hanging="208"/>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means the common stock of the Company.</w:t>
      </w:r>
    </w:p>
    <w:p>
      <w:pPr>
        <w:spacing w:after="0" w:line="198"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Heron Therapeutics, Inc., a Delaware corporation, or its successor.</w:t>
      </w:r>
    </w:p>
    <w:p>
      <w:pPr>
        <w:spacing w:after="0" w:line="225" w:lineRule="exact"/>
        <w:rPr>
          <w:rFonts w:ascii="Times New Roman" w:cs="Times New Roman" w:eastAsia="Times New Roman" w:hAnsi="Times New Roman"/>
          <w:sz w:val="18"/>
          <w:szCs w:val="18"/>
          <w:color w:val="auto"/>
        </w:rPr>
      </w:pPr>
    </w:p>
    <w:p>
      <w:pPr>
        <w:ind w:left="320" w:right="819" w:hanging="8"/>
        <w:spacing w:after="0" w:line="286" w:lineRule="auto"/>
        <w:tabs>
          <w:tab w:leader="none" w:pos="5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“Consultant” </w:t>
      </w:r>
      <w:r>
        <w:rPr>
          <w:rFonts w:ascii="Times New Roman" w:cs="Times New Roman" w:eastAsia="Times New Roman" w:hAnsi="Times New Roman"/>
          <w:sz w:val="18"/>
          <w:szCs w:val="18"/>
          <w:color w:val="auto"/>
        </w:rPr>
        <w:t>means any person (including an advisor or an employee of an entity) that is engaged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Parent, Subsidiary or Affiliate, to render services and is compensated for such services.</w:t>
      </w:r>
    </w:p>
    <w:p>
      <w:pPr>
        <w:spacing w:after="0" w:line="114" w:lineRule="exact"/>
        <w:rPr>
          <w:rFonts w:ascii="Times New Roman" w:cs="Times New Roman" w:eastAsia="Times New Roman" w:hAnsi="Times New Roman"/>
          <w:sz w:val="18"/>
          <w:szCs w:val="18"/>
          <w:color w:val="auto"/>
        </w:rPr>
      </w:pPr>
    </w:p>
    <w:p>
      <w:pPr>
        <w:ind w:left="320" w:right="319" w:hanging="8"/>
        <w:spacing w:after="0" w:line="253" w:lineRule="auto"/>
        <w:tabs>
          <w:tab w:leader="none" w:pos="5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“Continuous Service” </w:t>
      </w:r>
      <w:r>
        <w:rPr>
          <w:rFonts w:ascii="Times New Roman" w:cs="Times New Roman" w:eastAsia="Times New Roman" w:hAnsi="Times New Roman"/>
          <w:sz w:val="18"/>
          <w:szCs w:val="18"/>
          <w:color w:val="auto"/>
        </w:rPr>
        <w:t>means that the Participant’s service with the Company or an Affiliate, whether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Company for which a Participant is rendering services ceases to qualify as an “Affiliate,”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Board in its sole discretion, such Participant’s Continuous Service shall be considered to have terminated on the date such Company ceases to qualify as an Affiliate. To the extent permitted by law, the Board or the chief executive officer of the Company, in that party’s sole discretion, may determine whether Continuous Service shall be considered interrupted in the case of: (i) any leave of absence approved by the Board or the chief executive officer of the Company, including sick leave, military leave or any other personal leave; or (ii) transfers between the Company, an Affiliate, or their successors.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42"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“Conversion Award” </w:t>
      </w:r>
      <w:r>
        <w:rPr>
          <w:rFonts w:ascii="Times New Roman" w:cs="Times New Roman" w:eastAsia="Times New Roman" w:hAnsi="Times New Roman"/>
          <w:sz w:val="18"/>
          <w:szCs w:val="18"/>
          <w:color w:val="auto"/>
        </w:rPr>
        <w:t>has the meaning set forth in Section 4(b)(xii) of the Plan.</w:t>
      </w:r>
    </w:p>
    <w:p>
      <w:pPr>
        <w:spacing w:after="0" w:line="184"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 member of the Board.</w:t>
      </w:r>
    </w:p>
    <w:p>
      <w:pPr>
        <w:spacing w:after="0" w:line="184" w:lineRule="exact"/>
        <w:rPr>
          <w:rFonts w:ascii="Times New Roman" w:cs="Times New Roman" w:eastAsia="Times New Roman" w:hAnsi="Times New Roman"/>
          <w:sz w:val="18"/>
          <w:szCs w:val="18"/>
          <w:color w:val="auto"/>
        </w:rPr>
      </w:pPr>
    </w:p>
    <w:p>
      <w:pPr>
        <w:ind w:left="320" w:right="419" w:hanging="8"/>
        <w:spacing w:after="0" w:line="286" w:lineRule="auto"/>
        <w:tabs>
          <w:tab w:leader="none" w:pos="5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means the date of approval of the Plan by the stockholders of the Company in the manner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required by Applicable Laws.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60" w:name="page61"/>
    <w:bookmarkEnd w:id="60"/>
    <w:p>
      <w:pPr>
        <w:ind w:left="320" w:right="339" w:hanging="8"/>
        <w:spacing w:after="0" w:line="254" w:lineRule="auto"/>
        <w:tabs>
          <w:tab w:leader="none" w:pos="5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means a regular, active employee of the Company or any Affiliate, including an Officer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 Director. Within the limitations of Applicable Law, the Administrator shall have the discretion to determine the effect upon an Award and upon an individual’s status as an Employee in the case of (i) any individual who is classified by the Company or its Affiliate as leased from or otherwise employed by a third party or as intermittent or temporary, even if any such classification is changed retroactively as a result of an audit, litigation or otherwise, (ii) any leave of absence approved by the Company or an Affiliate, (iii) any transfer between locations of employment with the Company or an Affiliate or between the Company and any Affiliate or between any Affiliates, (iv) any change in the Awardee’s status from an Employee to a Consultant or Director, and (v) at the request of the Company or an Affiliate an Employee becomes employed by any partnership, joint venture or corporation not meeting the requirements of an Affiliate in which the Company or an Affiliate is a party.</w:t>
      </w:r>
    </w:p>
    <w:p>
      <w:pPr>
        <w:spacing w:after="0" w:line="144" w:lineRule="exact"/>
        <w:rPr>
          <w:rFonts w:ascii="Times New Roman" w:cs="Times New Roman" w:eastAsia="Times New Roman" w:hAnsi="Times New Roman"/>
          <w:sz w:val="18"/>
          <w:szCs w:val="18"/>
          <w:color w:val="auto"/>
        </w:rPr>
      </w:pPr>
    </w:p>
    <w:p>
      <w:pPr>
        <w:ind w:left="520" w:hanging="208"/>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198" w:lineRule="exact"/>
        <w:rPr>
          <w:rFonts w:ascii="Times New Roman" w:cs="Times New Roman" w:eastAsia="Times New Roman" w:hAnsi="Times New Roman"/>
          <w:sz w:val="18"/>
          <w:szCs w:val="18"/>
          <w:color w:val="auto"/>
        </w:rPr>
      </w:pPr>
    </w:p>
    <w:p>
      <w:pPr>
        <w:ind w:left="320" w:right="719" w:hanging="8"/>
        <w:spacing w:after="0" w:line="268" w:lineRule="auto"/>
        <w:tabs>
          <w:tab w:leader="none" w:pos="5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Market Value” </w:t>
      </w:r>
      <w:r>
        <w:rPr>
          <w:rFonts w:ascii="Times New Roman" w:cs="Times New Roman" w:eastAsia="Times New Roman" w:hAnsi="Times New Roman"/>
          <w:sz w:val="18"/>
          <w:szCs w:val="18"/>
          <w:color w:val="auto"/>
        </w:rPr>
        <w:t>means, as of any date, the value of a share of Common Stock or other property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Administrator, in its discretion, or by the Company, in its discretion, if such determination is expressly allocated to the Company herein, subject to the following:</w:t>
      </w:r>
    </w:p>
    <w:p>
      <w:pPr>
        <w:spacing w:after="0" w:line="134" w:lineRule="exact"/>
        <w:rPr>
          <w:rFonts w:ascii="Times New Roman" w:cs="Times New Roman" w:eastAsia="Times New Roman" w:hAnsi="Times New Roman"/>
          <w:sz w:val="18"/>
          <w:szCs w:val="18"/>
          <w:color w:val="auto"/>
        </w:rPr>
      </w:pPr>
    </w:p>
    <w:p>
      <w:pPr>
        <w:ind w:left="360" w:right="319" w:hanging="9"/>
        <w:spacing w:after="0" w:line="254" w:lineRule="auto"/>
        <w:tabs>
          <w:tab w:leader="none" w:pos="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such date, the Common Stock is listed on a national or regional securities exchange or market system, including without limitation the Nasdaq Stock Market, the Fair Market Value of a share of Common Stock shall be the closing price on such date of a share of Common Stock (or the mean of the closing bid and asked prices of a share of Common Stock if the stock is so quoted instead) as quoted on such exchange or market system constituting the primary market for the Common Stock,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If the relevant date does not fall on a day on which the Common Stock has traded on such securities exchange or market system, the date on which the Fair Market Value shall be established shall be the last day on which the Common Stock was so traded prior to the relevant date, or such other appropriate day as shall be determined by the Administrator, in its discretion.</w:t>
      </w:r>
    </w:p>
    <w:p>
      <w:pPr>
        <w:spacing w:after="0" w:line="147" w:lineRule="exact"/>
        <w:rPr>
          <w:rFonts w:ascii="Times New Roman" w:cs="Times New Roman" w:eastAsia="Times New Roman" w:hAnsi="Times New Roman"/>
          <w:sz w:val="18"/>
          <w:szCs w:val="18"/>
          <w:color w:val="auto"/>
        </w:rPr>
      </w:pPr>
    </w:p>
    <w:p>
      <w:pPr>
        <w:jc w:val="both"/>
        <w:ind w:left="360" w:right="399" w:hanging="9"/>
        <w:spacing w:after="0" w:line="261" w:lineRule="auto"/>
        <w:tabs>
          <w:tab w:leader="none" w:pos="5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Common Stock is not listed on a national or regional securities exchange or market system, the Fair Market Value of a share of Common Stock shall be as determined by the Administrator in good faith using a reasonable application of a reasonable valuation method without regard to any restriction other than a restriction which, by its terms, will never lapse.</w:t>
      </w:r>
    </w:p>
    <w:p>
      <w:pPr>
        <w:spacing w:after="0" w:line="135" w:lineRule="exact"/>
        <w:rPr>
          <w:rFonts w:ascii="Times New Roman" w:cs="Times New Roman" w:eastAsia="Times New Roman" w:hAnsi="Times New Roman"/>
          <w:sz w:val="18"/>
          <w:szCs w:val="18"/>
          <w:color w:val="auto"/>
        </w:rPr>
      </w:pPr>
    </w:p>
    <w:p>
      <w:pPr>
        <w:ind w:left="320" w:right="379" w:hanging="8"/>
        <w:spacing w:after="0" w:line="259" w:lineRule="auto"/>
        <w:tabs>
          <w:tab w:leader="none" w:pos="5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“Grant Date” </w:t>
      </w:r>
      <w:r>
        <w:rPr>
          <w:rFonts w:ascii="Times New Roman" w:cs="Times New Roman" w:eastAsia="Times New Roman" w:hAnsi="Times New Roman"/>
          <w:sz w:val="18"/>
          <w:szCs w:val="18"/>
          <w:color w:val="auto"/>
        </w:rPr>
        <w:t>means, for all purposes, the date on which the Administrator approves the determination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Award, or such other date as is determined by the Administrator, provided that in the case of any Incentive Stock Option, the grant date shall be the later of the date on which the Administrator makes the determination granting such Incentive Stock Option or the date of commencement of the Awardee’s employment relationship with the Company.</w:t>
      </w:r>
    </w:p>
    <w:p>
      <w:pPr>
        <w:spacing w:after="0" w:line="138" w:lineRule="exact"/>
        <w:rPr>
          <w:rFonts w:ascii="Times New Roman" w:cs="Times New Roman" w:eastAsia="Times New Roman" w:hAnsi="Times New Roman"/>
          <w:sz w:val="18"/>
          <w:szCs w:val="18"/>
          <w:color w:val="auto"/>
        </w:rPr>
      </w:pPr>
    </w:p>
    <w:p>
      <w:pPr>
        <w:ind w:left="320" w:right="319" w:hanging="8"/>
        <w:spacing w:after="0" w:line="286" w:lineRule="auto"/>
        <w:tabs>
          <w:tab w:leader="none" w:pos="6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“Incentive Stock Option” </w:t>
      </w:r>
      <w:r>
        <w:rPr>
          <w:rFonts w:ascii="Times New Roman" w:cs="Times New Roman" w:eastAsia="Times New Roman" w:hAnsi="Times New Roman"/>
          <w:sz w:val="18"/>
          <w:szCs w:val="18"/>
          <w:color w:val="auto"/>
        </w:rPr>
        <w:t>means an Option intended to qualify as an incentive stock option within the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Section 422 of the Code and the regulations promulgated thereunder.</w:t>
      </w:r>
    </w:p>
    <w:p>
      <w:pPr>
        <w:spacing w:after="0" w:line="127"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“Inside Director” </w:t>
      </w:r>
      <w:r>
        <w:rPr>
          <w:rFonts w:ascii="Times New Roman" w:cs="Times New Roman" w:eastAsia="Times New Roman" w:hAnsi="Times New Roman"/>
          <w:sz w:val="18"/>
          <w:szCs w:val="18"/>
          <w:color w:val="auto"/>
        </w:rPr>
        <w:t>means a Director who is an Employee.</w:t>
      </w:r>
    </w:p>
    <w:p>
      <w:pPr>
        <w:spacing w:after="0" w:line="184"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“Nasdaq” </w:t>
      </w:r>
      <w:r>
        <w:rPr>
          <w:rFonts w:ascii="Times New Roman" w:cs="Times New Roman" w:eastAsia="Times New Roman" w:hAnsi="Times New Roman"/>
          <w:sz w:val="18"/>
          <w:szCs w:val="18"/>
          <w:color w:val="auto"/>
        </w:rPr>
        <w:t>means the Nasdaq Stock Market or its successor.</w:t>
      </w:r>
    </w:p>
    <w:p>
      <w:pPr>
        <w:spacing w:after="0" w:line="184"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“Nonstatutory Stock Option” </w:t>
      </w:r>
      <w:r>
        <w:rPr>
          <w:rFonts w:ascii="Times New Roman" w:cs="Times New Roman" w:eastAsia="Times New Roman" w:hAnsi="Times New Roman"/>
          <w:sz w:val="18"/>
          <w:szCs w:val="18"/>
          <w:color w:val="auto"/>
        </w:rPr>
        <w:t>means an Option not intended to qualify as an Incentive Stock Option.</w:t>
      </w:r>
    </w:p>
    <w:p>
      <w:pPr>
        <w:spacing w:after="0" w:line="185" w:lineRule="exact"/>
        <w:rPr>
          <w:sz w:val="20"/>
          <w:szCs w:val="20"/>
          <w:color w:val="auto"/>
        </w:rPr>
      </w:pPr>
    </w:p>
    <w:p>
      <w:pPr>
        <w:ind w:left="320" w:right="379" w:hanging="8"/>
        <w:spacing w:after="0" w:line="286"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means a person who is an officer of the Company within the meaning of Section 16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and the rules and regulations promulgated thereunder.</w:t>
      </w:r>
    </w:p>
    <w:p>
      <w:pPr>
        <w:spacing w:after="0" w:line="114" w:lineRule="exact"/>
        <w:rPr>
          <w:rFonts w:ascii="Times New Roman" w:cs="Times New Roman" w:eastAsia="Times New Roman" w:hAnsi="Times New Roman"/>
          <w:sz w:val="18"/>
          <w:szCs w:val="18"/>
          <w:color w:val="auto"/>
        </w:rPr>
      </w:pPr>
    </w:p>
    <w:p>
      <w:pPr>
        <w:ind w:left="320" w:right="379" w:hanging="8"/>
        <w:spacing w:after="0" w:line="262" w:lineRule="auto"/>
        <w:tabs>
          <w:tab w:leader="none" w:pos="6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w:t>
      </w:r>
      <w:r>
        <w:rPr>
          <w:rFonts w:ascii="Times New Roman" w:cs="Times New Roman" w:eastAsia="Times New Roman" w:hAnsi="Times New Roman"/>
          <w:sz w:val="18"/>
          <w:szCs w:val="18"/>
          <w:color w:val="auto"/>
        </w:rPr>
        <w:t>means a right granted under Section 8 to purchase a number of Shares at such exercise price, 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and on such other terms and conditions as are specified in the agreement or other documents evidencing the Option (the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Both Options intended to qualify as Incentive Stock Options and Nonstatutory Stock Options may be granted under the Plan.</w:t>
      </w:r>
    </w:p>
    <w:p>
      <w:pPr>
        <w:spacing w:after="0" w:line="135" w:lineRule="exact"/>
        <w:rPr>
          <w:rFonts w:ascii="Times New Roman" w:cs="Times New Roman" w:eastAsia="Times New Roman" w:hAnsi="Times New Roman"/>
          <w:sz w:val="18"/>
          <w:szCs w:val="18"/>
          <w:color w:val="auto"/>
        </w:rPr>
      </w:pPr>
    </w:p>
    <w:p>
      <w:pPr>
        <w:ind w:left="640" w:hanging="32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“Outside Director” </w:t>
      </w:r>
      <w:r>
        <w:rPr>
          <w:rFonts w:ascii="Times New Roman" w:cs="Times New Roman" w:eastAsia="Times New Roman" w:hAnsi="Times New Roman"/>
          <w:sz w:val="18"/>
          <w:szCs w:val="18"/>
          <w:color w:val="auto"/>
        </w:rPr>
        <w:t>means a Director who is not an Employee.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61" w:name="page62"/>
    <w:bookmarkEnd w:id="61"/>
    <w:p>
      <w:pPr>
        <w:ind w:left="320" w:right="519" w:hanging="8"/>
        <w:spacing w:after="0" w:line="259" w:lineRule="auto"/>
        <w:tabs>
          <w:tab w:leader="none" w:pos="66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“Ownership Change Event” </w:t>
      </w:r>
      <w:r>
        <w:rPr>
          <w:rFonts w:ascii="Times New Roman" w:cs="Times New Roman" w:eastAsia="Times New Roman" w:hAnsi="Times New Roman"/>
          <w:sz w:val="18"/>
          <w:szCs w:val="18"/>
          <w:color w:val="auto"/>
        </w:rPr>
        <w:t>means the occurrence of any of the following with respect to the Company: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 or indirect sale or exchange in a single or series of related transactions by the stockholders of the Company of more than fifty percent (50%) of the voting stock of the Company; (ii) a merger or consolidation in which the Company is a party; or (iii) the sale, exchange, or transfer of all or substantially all of the assets of the Company.</w:t>
      </w:r>
    </w:p>
    <w:p>
      <w:pPr>
        <w:spacing w:after="0" w:line="138" w:lineRule="exact"/>
        <w:rPr>
          <w:rFonts w:ascii="Times New Roman" w:cs="Times New Roman" w:eastAsia="Times New Roman" w:hAnsi="Times New Roman"/>
          <w:sz w:val="18"/>
          <w:szCs w:val="18"/>
          <w:color w:val="auto"/>
        </w:rPr>
      </w:pPr>
    </w:p>
    <w:p>
      <w:pPr>
        <w:ind w:left="320" w:right="439" w:hanging="8"/>
        <w:spacing w:after="0" w:line="286" w:lineRule="auto"/>
        <w:tabs>
          <w:tab w:leader="none" w:pos="6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“Parent” </w:t>
      </w:r>
      <w:r>
        <w:rPr>
          <w:rFonts w:ascii="Times New Roman" w:cs="Times New Roman" w:eastAsia="Times New Roman" w:hAnsi="Times New Roman"/>
          <w:sz w:val="18"/>
          <w:szCs w:val="18"/>
          <w:color w:val="auto"/>
        </w:rPr>
        <w:t>means a “parent corporation,” whether now or hereafter existing, as defined in Section 424(e)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or any successor provision.</w:t>
      </w:r>
    </w:p>
    <w:p>
      <w:pPr>
        <w:spacing w:after="0" w:line="154" w:lineRule="exact"/>
        <w:rPr>
          <w:rFonts w:ascii="Times New Roman" w:cs="Times New Roman" w:eastAsia="Times New Roman" w:hAnsi="Times New Roman"/>
          <w:sz w:val="18"/>
          <w:szCs w:val="18"/>
          <w:color w:val="auto"/>
        </w:rPr>
      </w:pPr>
    </w:p>
    <w:p>
      <w:pPr>
        <w:ind w:left="320" w:right="359" w:hanging="8"/>
        <w:spacing w:after="0" w:line="286" w:lineRule="auto"/>
        <w:tabs>
          <w:tab w:leader="none" w:pos="60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“Participant” </w:t>
      </w:r>
      <w:r>
        <w:rPr>
          <w:rFonts w:ascii="Times New Roman" w:cs="Times New Roman" w:eastAsia="Times New Roman" w:hAnsi="Times New Roman"/>
          <w:sz w:val="18"/>
          <w:szCs w:val="18"/>
          <w:color w:val="auto"/>
        </w:rPr>
        <w:t>means the Awardee or any person (including any estate) to whom an Award has been assigned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as permitted hereunder.</w:t>
      </w:r>
    </w:p>
    <w:p>
      <w:pPr>
        <w:spacing w:after="0" w:line="127" w:lineRule="exact"/>
        <w:rPr>
          <w:rFonts w:ascii="Times New Roman" w:cs="Times New Roman" w:eastAsia="Times New Roman" w:hAnsi="Times New Roman"/>
          <w:sz w:val="18"/>
          <w:szCs w:val="18"/>
          <w:color w:val="auto"/>
        </w:rPr>
      </w:pPr>
    </w:p>
    <w:p>
      <w:pPr>
        <w:ind w:left="660" w:hanging="34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Criteria” </w:t>
      </w:r>
      <w:r>
        <w:rPr>
          <w:rFonts w:ascii="Times New Roman" w:cs="Times New Roman" w:eastAsia="Times New Roman" w:hAnsi="Times New Roman"/>
          <w:sz w:val="18"/>
          <w:szCs w:val="18"/>
          <w:color w:val="auto"/>
        </w:rPr>
        <w:t>shall have the meaning set forth in Section 13(b) of the Plan.</w:t>
      </w:r>
    </w:p>
    <w:p>
      <w:pPr>
        <w:spacing w:after="0" w:line="184" w:lineRule="exact"/>
        <w:rPr>
          <w:rFonts w:ascii="Times New Roman" w:cs="Times New Roman" w:eastAsia="Times New Roman" w:hAnsi="Times New Roman"/>
          <w:sz w:val="18"/>
          <w:szCs w:val="18"/>
          <w:color w:val="auto"/>
        </w:rPr>
      </w:pPr>
    </w:p>
    <w:p>
      <w:pPr>
        <w:ind w:left="660" w:hanging="34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means this Heron Therapeutics, Inc. 2007 Equity Incentive Plan.</w:t>
      </w:r>
    </w:p>
    <w:p>
      <w:pPr>
        <w:spacing w:after="0" w:line="184" w:lineRule="exact"/>
        <w:rPr>
          <w:rFonts w:ascii="Times New Roman" w:cs="Times New Roman" w:eastAsia="Times New Roman" w:hAnsi="Times New Roman"/>
          <w:sz w:val="18"/>
          <w:szCs w:val="18"/>
          <w:color w:val="auto"/>
        </w:rPr>
      </w:pPr>
    </w:p>
    <w:p>
      <w:pPr>
        <w:ind w:left="320" w:right="559" w:hanging="8"/>
        <w:spacing w:after="0" w:line="262" w:lineRule="auto"/>
        <w:tabs>
          <w:tab w:leader="none" w:pos="58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Stock Unit” </w:t>
      </w:r>
      <w:r>
        <w:rPr>
          <w:rFonts w:ascii="Times New Roman" w:cs="Times New Roman" w:eastAsia="Times New Roman" w:hAnsi="Times New Roman"/>
          <w:sz w:val="18"/>
          <w:szCs w:val="18"/>
          <w:color w:val="auto"/>
        </w:rPr>
        <w:t>means a bookkeeping entry representing an amount equivalent to the Fair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one Share (or a fraction or multiple of such value), payable in cash, property or Shares. Restricted Stock Units represent an unfunded and unsecured obligation of the Company, except as otherwise provided for by the Administrator.</w:t>
      </w:r>
    </w:p>
    <w:p>
      <w:pPr>
        <w:spacing w:after="0" w:line="135" w:lineRule="exact"/>
        <w:rPr>
          <w:rFonts w:ascii="Times New Roman" w:cs="Times New Roman" w:eastAsia="Times New Roman" w:hAnsi="Times New Roman"/>
          <w:sz w:val="18"/>
          <w:szCs w:val="18"/>
          <w:color w:val="auto"/>
        </w:rPr>
      </w:pPr>
    </w:p>
    <w:p>
      <w:pPr>
        <w:ind w:left="580" w:hanging="268"/>
        <w:spacing w:after="0"/>
        <w:tabs>
          <w:tab w:leader="none" w:pos="5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means a share of the Common Stock, as adjusted in accordance with Section 14 of the Plan.</w:t>
      </w:r>
    </w:p>
    <w:p>
      <w:pPr>
        <w:spacing w:after="0" w:line="184" w:lineRule="exact"/>
        <w:rPr>
          <w:rFonts w:ascii="Times New Roman" w:cs="Times New Roman" w:eastAsia="Times New Roman" w:hAnsi="Times New Roman"/>
          <w:sz w:val="18"/>
          <w:szCs w:val="18"/>
          <w:color w:val="auto"/>
        </w:rPr>
      </w:pPr>
    </w:p>
    <w:p>
      <w:pPr>
        <w:ind w:left="320" w:right="379" w:hanging="8"/>
        <w:spacing w:after="0" w:line="268" w:lineRule="auto"/>
        <w:tabs>
          <w:tab w:leader="none" w:pos="66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Appreciation Right” </w:t>
      </w:r>
      <w:r>
        <w:rPr>
          <w:rFonts w:ascii="Times New Roman" w:cs="Times New Roman" w:eastAsia="Times New Roman" w:hAnsi="Times New Roman"/>
          <w:sz w:val="18"/>
          <w:szCs w:val="18"/>
          <w:color w:val="auto"/>
        </w:rPr>
        <w:t>means a right to receive cash and/or shares of Common Stock based on a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Fair Market Value of a specific number of shares of Common Stock between the grant date and the exercise date granted under Section 12.</w:t>
      </w:r>
    </w:p>
    <w:p>
      <w:pPr>
        <w:spacing w:after="0" w:line="143" w:lineRule="exact"/>
        <w:rPr>
          <w:rFonts w:ascii="Times New Roman" w:cs="Times New Roman" w:eastAsia="Times New Roman" w:hAnsi="Times New Roman"/>
          <w:sz w:val="18"/>
          <w:szCs w:val="18"/>
          <w:color w:val="auto"/>
        </w:rPr>
      </w:pPr>
    </w:p>
    <w:p>
      <w:pPr>
        <w:ind w:left="320" w:right="319" w:hanging="8"/>
        <w:spacing w:after="0" w:line="259" w:lineRule="auto"/>
        <w:tabs>
          <w:tab w:leader="none" w:pos="58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Award” </w:t>
      </w:r>
      <w:r>
        <w:rPr>
          <w:rFonts w:ascii="Times New Roman" w:cs="Times New Roman" w:eastAsia="Times New Roman" w:hAnsi="Times New Roman"/>
          <w:sz w:val="18"/>
          <w:szCs w:val="18"/>
          <w:color w:val="auto"/>
        </w:rPr>
        <w:t>means an award or issuance of Shares, Restricted Stock Units, Stock Appreciation Rights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similar awards made under Section 12 of the Plan, the grant, issuance, retention, vesting, settlement, and/or transferability of which is subject during specified periods of time to such conditions (including continued employment or performance conditions) and terms as are expressed in the agreement or other documents evidencing the Award (the “</w:t>
      </w:r>
      <w:r>
        <w:rPr>
          <w:rFonts w:ascii="Times New Roman" w:cs="Times New Roman" w:eastAsia="Times New Roman" w:hAnsi="Times New Roman"/>
          <w:sz w:val="18"/>
          <w:szCs w:val="18"/>
          <w:b w:val="1"/>
          <w:bCs w:val="1"/>
          <w:color w:val="auto"/>
        </w:rPr>
        <w:t>Stock Award Agreement</w:t>
      </w:r>
      <w:r>
        <w:rPr>
          <w:rFonts w:ascii="Times New Roman" w:cs="Times New Roman" w:eastAsia="Times New Roman" w:hAnsi="Times New Roman"/>
          <w:sz w:val="18"/>
          <w:szCs w:val="18"/>
          <w:color w:val="auto"/>
        </w:rPr>
        <w:t>”).</w:t>
      </w:r>
    </w:p>
    <w:p>
      <w:pPr>
        <w:spacing w:after="0" w:line="138" w:lineRule="exact"/>
        <w:rPr>
          <w:rFonts w:ascii="Times New Roman" w:cs="Times New Roman" w:eastAsia="Times New Roman" w:hAnsi="Times New Roman"/>
          <w:sz w:val="18"/>
          <w:szCs w:val="18"/>
          <w:color w:val="auto"/>
        </w:rPr>
      </w:pPr>
    </w:p>
    <w:p>
      <w:pPr>
        <w:ind w:left="320" w:right="319" w:hanging="8"/>
        <w:spacing w:after="0" w:line="262" w:lineRule="auto"/>
        <w:tabs>
          <w:tab w:leader="none" w:pos="76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means any company (other than the Company) in an unbroken chain of companies beginning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provided each company in the unbroken chain (other than the Company) owns, at the time of determination, stock possessing 50% or more of the total combined voting power of all classes of stock in one of the other companies in such chain.</w:t>
      </w:r>
    </w:p>
    <w:p>
      <w:pPr>
        <w:spacing w:after="0" w:line="135" w:lineRule="exact"/>
        <w:rPr>
          <w:rFonts w:ascii="Times New Roman" w:cs="Times New Roman" w:eastAsia="Times New Roman" w:hAnsi="Times New Roman"/>
          <w:sz w:val="18"/>
          <w:szCs w:val="18"/>
          <w:color w:val="auto"/>
        </w:rPr>
      </w:pPr>
    </w:p>
    <w:p>
      <w:pPr>
        <w:ind w:left="320" w:right="379" w:hanging="8"/>
        <w:spacing w:after="0" w:line="256" w:lineRule="auto"/>
        <w:tabs>
          <w:tab w:leader="none" w:pos="66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shall mean ceasing to be in Continuous Service as an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or Director, as determined in the sole discretion of the Administrator. However, for Incentive Stock Option purposes, Termination of Continuous Service will occur when the Awardee ceases to be an employee (as determined in accordance with Section 3401(c) of the Code and the regulations promulgated thereunder) of the Company or one of its Subsidiaries. The Administrator shall determine whether any corporate transaction, such as a sale or spin-off of a division or business unit, or a joint venture, shall be deemed to result in a Termination of Continuous Service.</w:t>
      </w:r>
    </w:p>
    <w:p>
      <w:pPr>
        <w:spacing w:after="0" w:line="142" w:lineRule="exact"/>
        <w:rPr>
          <w:rFonts w:ascii="Times New Roman" w:cs="Times New Roman" w:eastAsia="Times New Roman" w:hAnsi="Times New Roman"/>
          <w:sz w:val="18"/>
          <w:szCs w:val="18"/>
          <w:color w:val="auto"/>
        </w:rPr>
      </w:pPr>
    </w:p>
    <w:p>
      <w:pPr>
        <w:ind w:left="660" w:hanging="34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and Permanent Disability” </w:t>
      </w:r>
      <w:r>
        <w:rPr>
          <w:rFonts w:ascii="Times New Roman" w:cs="Times New Roman" w:eastAsia="Times New Roman" w:hAnsi="Times New Roman"/>
          <w:sz w:val="18"/>
          <w:szCs w:val="18"/>
          <w:color w:val="auto"/>
        </w:rPr>
        <w:t>shall have the meaning set forth in Section 22(e)(3) of the Code.</w:t>
      </w:r>
    </w:p>
    <w:p>
      <w:pPr>
        <w:spacing w:after="0" w:line="184" w:lineRule="exact"/>
        <w:rPr>
          <w:rFonts w:ascii="Times New Roman" w:cs="Times New Roman" w:eastAsia="Times New Roman" w:hAnsi="Times New Roman"/>
          <w:sz w:val="18"/>
          <w:szCs w:val="18"/>
          <w:color w:val="auto"/>
        </w:rPr>
      </w:pPr>
    </w:p>
    <w:p>
      <w:pPr>
        <w:ind w:left="480" w:hanging="188"/>
        <w:spacing w:after="0"/>
        <w:tabs>
          <w:tab w:leader="none" w:pos="4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Subject to the Plan.</w:t>
      </w:r>
    </w:p>
    <w:p>
      <w:pPr>
        <w:spacing w:after="0" w:line="186" w:lineRule="exact"/>
        <w:rPr>
          <w:rFonts w:ascii="Times New Roman" w:cs="Times New Roman" w:eastAsia="Times New Roman" w:hAnsi="Times New Roman"/>
          <w:sz w:val="18"/>
          <w:szCs w:val="18"/>
          <w:b w:val="1"/>
          <w:bCs w:val="1"/>
          <w:color w:val="auto"/>
        </w:rPr>
      </w:pPr>
    </w:p>
    <w:p>
      <w:pPr>
        <w:jc w:val="both"/>
        <w:ind w:left="320" w:right="379" w:hanging="8"/>
        <w:spacing w:after="0" w:line="258" w:lineRule="auto"/>
        <w:tabs>
          <w:tab w:leader="none" w:pos="56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Aggregate Limits. </w:t>
      </w:r>
      <w:r>
        <w:rPr>
          <w:rFonts w:ascii="Times New Roman" w:cs="Times New Roman" w:eastAsia="Times New Roman" w:hAnsi="Times New Roman"/>
          <w:sz w:val="18"/>
          <w:szCs w:val="18"/>
          <w:color w:val="auto"/>
        </w:rPr>
        <w:t>Subject to the provisions of Section 14 of the Plan, the maximum aggregate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sold or issued under the Plan is 39,190,000 shares of Common Stock. Shares subject to Awards granted under the Plan that are cancelled, expire or are forfeited shall be available for re-grant under the Plan.</w:t>
      </w:r>
    </w:p>
    <w:p>
      <w:pPr>
        <w:ind w:left="320" w:right="39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Notwithstanding the preceding sentence, Shares subject to an Award may not again be made available for grant under the Plan if such shares are (i) Shares that were subject to an Award requiring exercise and were not issued upon the net settlement or net exercise of such Award, (ii) Shares subject to an Award that are withheld by, or otherwise remitted to, the Company (or to a broker in connection with a broker-assisted exercise of an Award requiring exercise) to satisfy a Participant's exercise price obligation upon exercise, (iii) Shares subject to an Award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62" w:name="page63"/>
    <w:bookmarkEnd w:id="62"/>
    <w:p>
      <w:pPr>
        <w:ind w:left="320" w:right="379"/>
        <w:spacing w:after="0" w:line="258" w:lineRule="auto"/>
        <w:rPr>
          <w:sz w:val="20"/>
          <w:szCs w:val="20"/>
          <w:color w:val="auto"/>
        </w:rPr>
      </w:pPr>
      <w:r>
        <w:rPr>
          <w:rFonts w:ascii="Times New Roman" w:cs="Times New Roman" w:eastAsia="Times New Roman" w:hAnsi="Times New Roman"/>
          <w:sz w:val="18"/>
          <w:szCs w:val="18"/>
          <w:color w:val="auto"/>
        </w:rPr>
        <w:t>that are withheld by, or otherwise remitted to the Company to satisfy any Company withholding obligations in connection with an Award, (iv) previously owned Shares delivered in satisfaction of a Participant's exercise price or any Company withholding obligations in connection with an Award, or (v) Shares repurchased on the open market with the proceeds from the exercise of an Award. The Shares subject to the Plan may be either Shares reacquired by the Company, including Shares purchased in the open market, or authorized but unissued Shares.</w:t>
      </w:r>
    </w:p>
    <w:p>
      <w:pPr>
        <w:spacing w:after="0" w:line="141" w:lineRule="exact"/>
        <w:rPr>
          <w:sz w:val="20"/>
          <w:szCs w:val="20"/>
          <w:color w:val="auto"/>
        </w:rPr>
      </w:pPr>
    </w:p>
    <w:p>
      <w:pPr>
        <w:ind w:left="560" w:hanging="248"/>
        <w:spacing w:after="0"/>
        <w:tabs>
          <w:tab w:leader="none" w:pos="5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Individual Award Limits</w:t>
      </w:r>
      <w:r>
        <w:rPr>
          <w:rFonts w:ascii="Times New Roman" w:cs="Times New Roman" w:eastAsia="Times New Roman" w:hAnsi="Times New Roman"/>
          <w:sz w:val="18"/>
          <w:szCs w:val="18"/>
          <w:color w:val="auto"/>
        </w:rPr>
        <w:t>. Subject to the provisions of Section 14 of the Plan, the aggregate number of Shares</w:t>
      </w:r>
    </w:p>
    <w:p>
      <w:pPr>
        <w:spacing w:after="0" w:line="29" w:lineRule="exact"/>
        <w:rPr>
          <w:rFonts w:ascii="Times New Roman" w:cs="Times New Roman" w:eastAsia="Times New Roman" w:hAnsi="Times New Roman"/>
          <w:sz w:val="18"/>
          <w:szCs w:val="18"/>
          <w:color w:val="auto"/>
        </w:rPr>
      </w:pPr>
    </w:p>
    <w:p>
      <w:pPr>
        <w:ind w:left="320" w:right="379"/>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subject to Awards granted under this Plan during any calendar year to any one Awardee shall not exceed 50% of the maximum aggregate number of shares that are authorized for issuance pursuant to Section 3(a) of the Plan, except that in connection with his or her first commencing service with the Company or an Affiliate, an Awardee may be granted Awards covering up to an additional 200,000 Shares during the year in which such service commences.</w:t>
      </w:r>
    </w:p>
    <w:p>
      <w:pPr>
        <w:spacing w:after="0" w:line="143" w:lineRule="exact"/>
        <w:rPr>
          <w:rFonts w:ascii="Times New Roman" w:cs="Times New Roman" w:eastAsia="Times New Roman" w:hAnsi="Times New Roman"/>
          <w:sz w:val="18"/>
          <w:szCs w:val="18"/>
          <w:color w:val="auto"/>
        </w:rPr>
      </w:pPr>
    </w:p>
    <w:p>
      <w:pPr>
        <w:ind w:left="320" w:right="399" w:hanging="8"/>
        <w:spacing w:after="0" w:line="277" w:lineRule="auto"/>
        <w:tabs>
          <w:tab w:leader="none" w:pos="56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Director Awards</w:t>
      </w:r>
      <w:r>
        <w:rPr>
          <w:rFonts w:ascii="Times New Roman" w:cs="Times New Roman" w:eastAsia="Times New Roman" w:hAnsi="Times New Roman"/>
          <w:sz w:val="17"/>
          <w:szCs w:val="17"/>
          <w:color w:val="auto"/>
        </w:rPr>
        <w:t>. The aggregate dollar value of cash compensation and Awards (based on the grant date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such Awards) granted under the Plan or otherwise during any calendar year to any one Outside Director shall not exceed $750,000; provided, however, that in any calendar year in which an Outside Director first joins the Board or is designated as Chairman of the Board, the maximum aggregate dollar value of equity-based and cash compensation granted to the Outside Director may be up to two hundred percent (200%) of the foregoing limit.</w:t>
      </w:r>
    </w:p>
    <w:p>
      <w:pPr>
        <w:spacing w:after="0" w:line="125" w:lineRule="exact"/>
        <w:rPr>
          <w:rFonts w:ascii="Times New Roman" w:cs="Times New Roman" w:eastAsia="Times New Roman" w:hAnsi="Times New Roman"/>
          <w:sz w:val="17"/>
          <w:szCs w:val="17"/>
          <w:color w:val="auto"/>
        </w:rPr>
      </w:pPr>
    </w:p>
    <w:p>
      <w:pPr>
        <w:ind w:left="480" w:hanging="188"/>
        <w:spacing w:after="0"/>
        <w:tabs>
          <w:tab w:leader="none" w:pos="4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186" w:lineRule="exact"/>
        <w:rPr>
          <w:rFonts w:ascii="Times New Roman" w:cs="Times New Roman" w:eastAsia="Times New Roman" w:hAnsi="Times New Roman"/>
          <w:sz w:val="18"/>
          <w:szCs w:val="18"/>
          <w:b w:val="1"/>
          <w:bCs w:val="1"/>
          <w:color w:val="auto"/>
        </w:rPr>
      </w:pPr>
    </w:p>
    <w:p>
      <w:pPr>
        <w:ind w:left="560" w:hanging="248"/>
        <w:spacing w:after="0"/>
        <w:tabs>
          <w:tab w:leader="none" w:pos="5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Multiple Administrative Bodies</w:t>
      </w:r>
      <w:r>
        <w:rPr>
          <w:rFonts w:ascii="Times New Roman" w:cs="Times New Roman" w:eastAsia="Times New Roman" w:hAnsi="Times New Roman"/>
          <w:sz w:val="18"/>
          <w:szCs w:val="18"/>
          <w:color w:val="auto"/>
        </w:rPr>
        <w:t>. The Plan shall be administered by the Board, a Committee and/or their delegates.</w:t>
      </w:r>
    </w:p>
    <w:p>
      <w:pPr>
        <w:spacing w:after="0" w:line="185" w:lineRule="exact"/>
        <w:rPr>
          <w:sz w:val="20"/>
          <w:szCs w:val="20"/>
          <w:color w:val="auto"/>
        </w:rPr>
      </w:pPr>
    </w:p>
    <w:p>
      <w:pPr>
        <w:jc w:val="both"/>
        <w:ind w:left="360" w:right="519" w:hanging="9"/>
        <w:spacing w:after="0" w:line="267" w:lineRule="auto"/>
        <w:tabs>
          <w:tab w:leader="none" w:pos="5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16b-3</w:t>
      </w:r>
      <w:r>
        <w:rPr>
          <w:rFonts w:ascii="Times New Roman" w:cs="Times New Roman" w:eastAsia="Times New Roman" w:hAnsi="Times New Roman"/>
          <w:sz w:val="18"/>
          <w:szCs w:val="18"/>
          <w:color w:val="auto"/>
        </w:rPr>
        <w:t>. To the extent desirable to qualify transactions hereunder as exempt under Rule 16b-3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Exchange Act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Awards to Officers and Directors shall be made by the entire Board or a Committee of two or more “non-employee directors” within the meaning of Rule 16b-3.</w:t>
      </w:r>
    </w:p>
    <w:p>
      <w:pPr>
        <w:spacing w:after="0" w:line="146" w:lineRule="exact"/>
        <w:rPr>
          <w:rFonts w:ascii="Times New Roman" w:cs="Times New Roman" w:eastAsia="Times New Roman" w:hAnsi="Times New Roman"/>
          <w:sz w:val="18"/>
          <w:szCs w:val="18"/>
          <w:color w:val="auto"/>
        </w:rPr>
      </w:pPr>
    </w:p>
    <w:p>
      <w:pPr>
        <w:jc w:val="both"/>
        <w:ind w:left="360" w:right="839" w:hanging="9"/>
        <w:spacing w:after="0" w:line="267" w:lineRule="auto"/>
        <w:tabs>
          <w:tab w:leader="none" w:pos="6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Administration</w:t>
      </w:r>
      <w:r>
        <w:rPr>
          <w:rFonts w:ascii="Times New Roman" w:cs="Times New Roman" w:eastAsia="Times New Roman" w:hAnsi="Times New Roman"/>
          <w:sz w:val="18"/>
          <w:szCs w:val="18"/>
          <w:color w:val="auto"/>
        </w:rPr>
        <w:t>. The Board or a Committee may delegate to an authorized officer or officers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power to approve Awards to persons eligible to receive Awards under the Plan who are not (A) subject to Section 16 of the Exchange Act or (B) any other executive officer.</w:t>
      </w:r>
    </w:p>
    <w:p>
      <w:pPr>
        <w:spacing w:after="0" w:line="132" w:lineRule="exact"/>
        <w:rPr>
          <w:rFonts w:ascii="Times New Roman" w:cs="Times New Roman" w:eastAsia="Times New Roman" w:hAnsi="Times New Roman"/>
          <w:sz w:val="18"/>
          <w:szCs w:val="18"/>
          <w:color w:val="auto"/>
        </w:rPr>
      </w:pPr>
    </w:p>
    <w:p>
      <w:pPr>
        <w:ind w:left="360" w:right="579" w:hanging="9"/>
        <w:spacing w:after="0" w:line="267" w:lineRule="auto"/>
        <w:tabs>
          <w:tab w:leader="none" w:pos="57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Delegation of Authority for the Day-to-Day Administration of the Plan</w:t>
      </w:r>
      <w:r>
        <w:rPr>
          <w:rFonts w:ascii="Times New Roman" w:cs="Times New Roman" w:eastAsia="Times New Roman" w:hAnsi="Times New Roman"/>
          <w:sz w:val="18"/>
          <w:szCs w:val="18"/>
          <w:color w:val="auto"/>
        </w:rPr>
        <w:t>. Except to the extent prohibited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 the Administrator may delegate to one or more individuals the day-to-day administration of the Plan and any of the functions assigned to it in this Plan. Such delegation may be revoked at any time.</w:t>
      </w:r>
    </w:p>
    <w:p>
      <w:pPr>
        <w:spacing w:after="0" w:line="132" w:lineRule="exact"/>
        <w:rPr>
          <w:rFonts w:ascii="Times New Roman" w:cs="Times New Roman" w:eastAsia="Times New Roman" w:hAnsi="Times New Roman"/>
          <w:sz w:val="18"/>
          <w:szCs w:val="18"/>
          <w:color w:val="auto"/>
        </w:rPr>
      </w:pPr>
    </w:p>
    <w:p>
      <w:pPr>
        <w:ind w:left="360" w:right="319" w:hanging="9"/>
        <w:spacing w:after="0" w:line="284" w:lineRule="auto"/>
        <w:tabs>
          <w:tab w:leader="none" w:pos="5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To the extent that the Common Stock is then listed on Nasdaq, the Plan will be administered in a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complies with any applicable Nasdaq or stock exchange listing requirements.</w:t>
      </w:r>
    </w:p>
    <w:p>
      <w:pPr>
        <w:spacing w:after="0" w:line="117" w:lineRule="exact"/>
        <w:rPr>
          <w:rFonts w:ascii="Times New Roman" w:cs="Times New Roman" w:eastAsia="Times New Roman" w:hAnsi="Times New Roman"/>
          <w:sz w:val="18"/>
          <w:szCs w:val="18"/>
          <w:color w:val="auto"/>
        </w:rPr>
      </w:pPr>
    </w:p>
    <w:p>
      <w:pPr>
        <w:ind w:left="320" w:right="479" w:hanging="8"/>
        <w:spacing w:after="0" w:line="267" w:lineRule="auto"/>
        <w:tabs>
          <w:tab w:leader="none" w:pos="5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of the Administrator</w:t>
      </w:r>
      <w:r>
        <w:rPr>
          <w:rFonts w:ascii="Times New Roman" w:cs="Times New Roman" w:eastAsia="Times New Roman" w:hAnsi="Times New Roman"/>
          <w:sz w:val="18"/>
          <w:szCs w:val="18"/>
          <w:color w:val="auto"/>
        </w:rPr>
        <w:t>. Subject to the provisions of the Plan and, in the case of a Committee or delegates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acting as the Administrator, subject to the specific duties delegated to such Committee or delegates, the Administrator shall have the authority, in its discretion:</w:t>
      </w:r>
    </w:p>
    <w:p>
      <w:pPr>
        <w:spacing w:after="0" w:line="134" w:lineRule="exact"/>
        <w:rPr>
          <w:rFonts w:ascii="Times New Roman" w:cs="Times New Roman" w:eastAsia="Times New Roman" w:hAnsi="Times New Roman"/>
          <w:sz w:val="18"/>
          <w:szCs w:val="18"/>
          <w:color w:val="auto"/>
        </w:rPr>
      </w:pPr>
    </w:p>
    <w:p>
      <w:pPr>
        <w:ind w:left="360" w:right="599" w:hanging="9"/>
        <w:spacing w:after="0" w:line="282" w:lineRule="auto"/>
        <w:tabs>
          <w:tab w:leader="none" w:pos="5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Consultants and Directors of the Company or its Affiliates to whom Awards are to be granted hereunder;</w:t>
      </w:r>
    </w:p>
    <w:p>
      <w:pPr>
        <w:spacing w:after="0" w:line="162" w:lineRule="exact"/>
        <w:rPr>
          <w:sz w:val="20"/>
          <w:szCs w:val="20"/>
          <w:color w:val="auto"/>
        </w:rPr>
      </w:pPr>
    </w:p>
    <w:p>
      <w:pPr>
        <w:ind w:left="520" w:hanging="183"/>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Common Stock to be covered by each Award granted hereunder;</w:t>
      </w:r>
    </w:p>
    <w:p>
      <w:pPr>
        <w:spacing w:after="0" w:line="184" w:lineRule="exact"/>
        <w:rPr>
          <w:rFonts w:ascii="Times New Roman" w:cs="Times New Roman" w:eastAsia="Times New Roman" w:hAnsi="Times New Roman"/>
          <w:sz w:val="18"/>
          <w:szCs w:val="18"/>
          <w:color w:val="auto"/>
        </w:rPr>
      </w:pPr>
    </w:p>
    <w:p>
      <w:pPr>
        <w:ind w:left="600" w:hanging="249"/>
        <w:spacing w:after="0"/>
        <w:tabs>
          <w:tab w:leader="none" w:pos="6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type of Award to be granted to the selected Employees, Consultants and Directors;</w:t>
      </w:r>
    </w:p>
    <w:p>
      <w:pPr>
        <w:spacing w:after="0" w:line="198" w:lineRule="exact"/>
        <w:rPr>
          <w:rFonts w:ascii="Times New Roman" w:cs="Times New Roman" w:eastAsia="Times New Roman" w:hAnsi="Times New Roman"/>
          <w:sz w:val="18"/>
          <w:szCs w:val="18"/>
          <w:color w:val="auto"/>
        </w:rPr>
      </w:pPr>
    </w:p>
    <w:p>
      <w:pPr>
        <w:ind w:left="560" w:hanging="209"/>
        <w:spacing w:after="0"/>
        <w:tabs>
          <w:tab w:leader="none" w:pos="5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63" w:name="page64"/>
    <w:bookmarkEnd w:id="63"/>
    <w:p>
      <w:pPr>
        <w:ind w:left="360" w:right="399"/>
        <w:spacing w:after="0" w:line="255" w:lineRule="auto"/>
        <w:rPr>
          <w:sz w:val="20"/>
          <w:szCs w:val="20"/>
          <w:color w:val="auto"/>
        </w:rPr>
      </w:pPr>
      <w:r>
        <w:rPr>
          <w:rFonts w:ascii="Times New Roman" w:cs="Times New Roman" w:eastAsia="Times New Roman" w:hAnsi="Times New Roman"/>
          <w:sz w:val="18"/>
          <w:szCs w:val="18"/>
          <w:color w:val="auto"/>
        </w:rPr>
        <w:t>v. to determine the terms and conditions, not inconsistent with the terms of the Plan, of any Award granted hereunder. Such terms and conditions include, but are not limited to, the exercise and/or purchase price (if applicable), the time or times when an Award may be exercised (which may or may not be based on performance criteria), the vesting schedule, any vesting and/or exercisability acceleration or waiver of forfeiture restrictions, the acceptable forms of consideration, the term, and any restriction or limitation regarding any Award or the Shares relating thereto, based in each case on such factors as the Administrator, in its sole discretion, shall determine and may be established at the time an Award is granted or thereafter;</w:t>
      </w:r>
    </w:p>
    <w:p>
      <w:pPr>
        <w:spacing w:after="0" w:line="148" w:lineRule="exact"/>
        <w:rPr>
          <w:sz w:val="20"/>
          <w:szCs w:val="20"/>
          <w:color w:val="auto"/>
        </w:rPr>
      </w:pPr>
    </w:p>
    <w:p>
      <w:pPr>
        <w:ind w:left="580" w:hanging="229"/>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administrative errors;</w:t>
      </w:r>
    </w:p>
    <w:p>
      <w:pPr>
        <w:spacing w:after="0" w:line="198" w:lineRule="exact"/>
        <w:rPr>
          <w:rFonts w:ascii="Times New Roman" w:cs="Times New Roman" w:eastAsia="Times New Roman" w:hAnsi="Times New Roman"/>
          <w:sz w:val="18"/>
          <w:szCs w:val="18"/>
          <w:color w:val="auto"/>
        </w:rPr>
      </w:pPr>
    </w:p>
    <w:p>
      <w:pPr>
        <w:ind w:left="360" w:right="739" w:hanging="9"/>
        <w:spacing w:after="0" w:line="282"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(including sub-plans and Plan addenda) and Awards granted pursuant to the Plan;</w:t>
      </w:r>
    </w:p>
    <w:p>
      <w:pPr>
        <w:spacing w:after="0" w:line="121" w:lineRule="exact"/>
        <w:rPr>
          <w:rFonts w:ascii="Times New Roman" w:cs="Times New Roman" w:eastAsia="Times New Roman" w:hAnsi="Times New Roman"/>
          <w:sz w:val="18"/>
          <w:szCs w:val="18"/>
          <w:color w:val="auto"/>
        </w:rPr>
      </w:pPr>
    </w:p>
    <w:p>
      <w:pPr>
        <w:ind w:left="360" w:right="399" w:hanging="9"/>
        <w:spacing w:after="0" w:line="256" w:lineRule="auto"/>
        <w:tabs>
          <w:tab w:leader="none" w:pos="6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rules and procedures relating to the operation and administration of the Plan to accommodate the specific requirements of local laws and procedures. Without limiting the generality of the foregoing, the Administrator is specifically authorized (A) to adopt the rules and procedures regarding the conversion of local currency, withholding procedures and handling of stock certificates which vary with local requirements and (B) to adopt sub-plans and Plan addenda as the Administrator deems desirable, to accommodate foreign laws, regulations and practice;</w:t>
      </w:r>
    </w:p>
    <w:p>
      <w:pPr>
        <w:spacing w:after="0" w:line="146" w:lineRule="exact"/>
        <w:rPr>
          <w:rFonts w:ascii="Times New Roman" w:cs="Times New Roman" w:eastAsia="Times New Roman" w:hAnsi="Times New Roman"/>
          <w:sz w:val="18"/>
          <w:szCs w:val="18"/>
          <w:color w:val="auto"/>
        </w:rPr>
      </w:pPr>
    </w:p>
    <w:p>
      <w:pPr>
        <w:ind w:left="360" w:right="879" w:hanging="9"/>
        <w:spacing w:after="0" w:line="282" w:lineRule="auto"/>
        <w:tabs>
          <w:tab w:leader="none" w:pos="5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and Plan addenda;</w:t>
      </w:r>
    </w:p>
    <w:p>
      <w:pPr>
        <w:spacing w:after="0" w:line="121" w:lineRule="exact"/>
        <w:rPr>
          <w:rFonts w:ascii="Times New Roman" w:cs="Times New Roman" w:eastAsia="Times New Roman" w:hAnsi="Times New Roman"/>
          <w:sz w:val="18"/>
          <w:szCs w:val="18"/>
          <w:color w:val="auto"/>
        </w:rPr>
      </w:pPr>
    </w:p>
    <w:p>
      <w:pPr>
        <w:ind w:left="360" w:right="539" w:hanging="9"/>
        <w:spacing w:after="0" w:line="266"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including, but not limited to, the acceleration of vesting and/or exercisability, provided, however, that any such amendment is subject to Section 15 of the Plan and except as set forth in that Section, may not impair any outstanding Award unless agreed to in writing by the Participant;</w:t>
      </w:r>
    </w:p>
    <w:p>
      <w:pPr>
        <w:spacing w:after="0" w:line="135" w:lineRule="exact"/>
        <w:rPr>
          <w:rFonts w:ascii="Times New Roman" w:cs="Times New Roman" w:eastAsia="Times New Roman" w:hAnsi="Times New Roman"/>
          <w:sz w:val="18"/>
          <w:szCs w:val="18"/>
          <w:color w:val="auto"/>
        </w:rPr>
      </w:pPr>
    </w:p>
    <w:p>
      <w:pPr>
        <w:ind w:left="360" w:right="339" w:hanging="9"/>
        <w:spacing w:after="0" w:line="255" w:lineRule="auto"/>
        <w:tabs>
          <w:tab w:leader="none" w:pos="5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amounts by electing to have the Company withhold from the Shares to be issued upon exercise of an Option or vesting of a Stock Award that number of Shares having a Fair Market Value equal to the amount required to be withheld. The Fair Market Value of the Shares to be withheld shall be determined in such manner and on such date that the Administrator shall determine or, in the absence of provision otherwise, on the date that the amount of tax to be withheld is to be determined. All elections by a Participant to have Shares withheld for this purpose shall be made in such form and under such conditions as the Administrator may provide;</w:t>
      </w:r>
    </w:p>
    <w:p>
      <w:pPr>
        <w:spacing w:after="0" w:line="161" w:lineRule="exact"/>
        <w:rPr>
          <w:rFonts w:ascii="Times New Roman" w:cs="Times New Roman" w:eastAsia="Times New Roman" w:hAnsi="Times New Roman"/>
          <w:sz w:val="18"/>
          <w:szCs w:val="18"/>
          <w:color w:val="auto"/>
        </w:rPr>
      </w:pPr>
    </w:p>
    <w:p>
      <w:pPr>
        <w:ind w:left="360" w:right="319" w:hanging="9"/>
        <w:spacing w:after="0" w:line="272" w:lineRule="auto"/>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conversion or substitution under the Plan of any or all stock options, stock appreciation rights or other stock awards held by service providers of an entity acquired by the Company (the “</w:t>
      </w:r>
      <w:r>
        <w:rPr>
          <w:rFonts w:ascii="Times New Roman" w:cs="Times New Roman" w:eastAsia="Times New Roman" w:hAnsi="Times New Roman"/>
          <w:sz w:val="17"/>
          <w:szCs w:val="17"/>
          <w:b w:val="1"/>
          <w:bCs w:val="1"/>
          <w:color w:val="auto"/>
        </w:rPr>
        <w:t>Conversion Awards</w:t>
      </w:r>
      <w:r>
        <w:rPr>
          <w:rFonts w:ascii="Times New Roman" w:cs="Times New Roman" w:eastAsia="Times New Roman" w:hAnsi="Times New Roman"/>
          <w:sz w:val="17"/>
          <w:szCs w:val="17"/>
          <w:color w:val="auto"/>
        </w:rPr>
        <w:t>”). Any conversion or substitution shall be effective as of the close of the merger, acquisition or other transaction. The Conversion Awards may be Nonstatutory Stock Options or Incentive Stock Options, as determined by the Administrator, with respect to options granted by the acquired entity; provided, however, that with respect to the conversion of stock appreciation rights in the acquired entity, the Conversion Awards shall be Nonstatutory Stock Options. Unless otherwise determined by the Administrator at the time of conversion or substitution, all Conversion Awards shall have the same terms and conditions as Awards generally granted by the Company under the Plan;</w:t>
      </w:r>
    </w:p>
    <w:p>
      <w:pPr>
        <w:spacing w:after="0" w:line="131" w:lineRule="exact"/>
        <w:rPr>
          <w:rFonts w:ascii="Times New Roman" w:cs="Times New Roman" w:eastAsia="Times New Roman" w:hAnsi="Times New Roman"/>
          <w:sz w:val="17"/>
          <w:szCs w:val="17"/>
          <w:color w:val="auto"/>
        </w:rPr>
      </w:pPr>
    </w:p>
    <w:p>
      <w:pPr>
        <w:ind w:left="360" w:right="459" w:hanging="9"/>
        <w:spacing w:after="0" w:line="282" w:lineRule="auto"/>
        <w:tabs>
          <w:tab w:leader="none" w:pos="6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21" w:lineRule="exact"/>
        <w:rPr>
          <w:rFonts w:ascii="Times New Roman" w:cs="Times New Roman" w:eastAsia="Times New Roman" w:hAnsi="Times New Roman"/>
          <w:sz w:val="18"/>
          <w:szCs w:val="18"/>
          <w:color w:val="auto"/>
        </w:rPr>
      </w:pPr>
    </w:p>
    <w:p>
      <w:pPr>
        <w:ind w:left="360" w:right="299" w:hanging="9"/>
        <w:spacing w:after="0" w:line="258" w:lineRule="auto"/>
        <w:tabs>
          <w:tab w:leader="none" w:pos="6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such restrictions, conditions or limitations as it determines appropriate as to the timing and manner of any resales by a Participant or other subsequent transfers by the Participant of any Shares issued as a result of or under an Award, including without limitation, (A) restrictions under an insider trading policy or under any other Company policy relating to Company stock and stock ownership and (B) restrictions as to the use of a specified brokerage firm for such resales or other transfers;</w:t>
      </w:r>
    </w:p>
    <w:p>
      <w:pPr>
        <w:spacing w:after="0" w:line="142" w:lineRule="exact"/>
        <w:rPr>
          <w:rFonts w:ascii="Times New Roman" w:cs="Times New Roman" w:eastAsia="Times New Roman" w:hAnsi="Times New Roman"/>
          <w:sz w:val="18"/>
          <w:szCs w:val="18"/>
          <w:color w:val="auto"/>
        </w:rPr>
      </w:pPr>
    </w:p>
    <w:p>
      <w:pPr>
        <w:ind w:left="360" w:right="319" w:hanging="9"/>
        <w:spacing w:after="0" w:line="261" w:lineRule="auto"/>
        <w:tabs>
          <w:tab w:leader="none" w:pos="6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either at the time an Award is granted or by subsequent action, that an Award shall contain as a term thereof, a right, either in tandem with the other rights under the Award or as an alternative thereto, of the Participant to receive, without payment to the Company, a number of Shares, cash or a combination thereof, the amount of which is determined by reference to the value of the Award;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64" w:name="page65"/>
    <w:bookmarkEnd w:id="64"/>
    <w:p>
      <w:pPr>
        <w:ind w:left="360" w:right="319" w:hanging="9"/>
        <w:spacing w:after="0" w:line="256" w:lineRule="auto"/>
        <w:tabs>
          <w:tab w:leader="none" w:pos="6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all outstanding Awards held by an Awardee to terminate immediately in their entirety (including as to vested Options) upon first notification to the Awardee of the Awardee’s Termination of Continuous Service for Cause. If an Awardee’s Continuous Service with the Company is suspended pending an investigation of whether the Awardee shall be terminated for Cause, the Administrator has the authority to cause all the Awardee’s rights under all outstanding Awards to be suspended during the investigation period in which event the Awardee shall have no right to exercise any outstanding Awards;</w:t>
      </w:r>
    </w:p>
    <w:p>
      <w:pPr>
        <w:spacing w:after="0" w:line="146" w:lineRule="exact"/>
        <w:rPr>
          <w:rFonts w:ascii="Times New Roman" w:cs="Times New Roman" w:eastAsia="Times New Roman" w:hAnsi="Times New Roman"/>
          <w:sz w:val="18"/>
          <w:szCs w:val="18"/>
          <w:color w:val="auto"/>
        </w:rPr>
      </w:pPr>
    </w:p>
    <w:p>
      <w:pPr>
        <w:ind w:left="360" w:right="379" w:hanging="9"/>
        <w:spacing w:after="0" w:line="255" w:lineRule="auto"/>
        <w:tabs>
          <w:tab w:leader="none" w:pos="7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the vesting of Awards shall be tolled during any unpaid leave of absence. In the event of military leave, vesting shall toll during any unpaid portion of such leave, provided that, upon an Awardee’s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Awardee continued to provide services to the Company throughout the leave on the same terms as he or she was providing services immediately prior to such leave; AND</w:t>
      </w:r>
    </w:p>
    <w:p>
      <w:pPr>
        <w:spacing w:after="0" w:line="161" w:lineRule="exact"/>
        <w:rPr>
          <w:rFonts w:ascii="Times New Roman" w:cs="Times New Roman" w:eastAsia="Times New Roman" w:hAnsi="Times New Roman"/>
          <w:sz w:val="18"/>
          <w:szCs w:val="18"/>
          <w:color w:val="auto"/>
        </w:rPr>
      </w:pPr>
    </w:p>
    <w:p>
      <w:pPr>
        <w:ind w:left="360" w:right="599" w:hanging="9"/>
        <w:spacing w:after="0" w:line="282" w:lineRule="auto"/>
        <w:tabs>
          <w:tab w:leader="none" w:pos="7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 and any Award granted hereunder.</w:t>
      </w:r>
    </w:p>
    <w:p>
      <w:pPr>
        <w:spacing w:after="0" w:line="119" w:lineRule="exact"/>
        <w:rPr>
          <w:rFonts w:ascii="Times New Roman" w:cs="Times New Roman" w:eastAsia="Times New Roman" w:hAnsi="Times New Roman"/>
          <w:sz w:val="18"/>
          <w:szCs w:val="18"/>
          <w:color w:val="auto"/>
        </w:rPr>
      </w:pPr>
    </w:p>
    <w:p>
      <w:pPr>
        <w:ind w:left="320" w:right="379" w:hanging="8"/>
        <w:spacing w:after="0" w:line="257" w:lineRule="auto"/>
        <w:tabs>
          <w:tab w:leader="none" w:pos="5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Administrator’s Decision</w:t>
      </w:r>
      <w:r>
        <w:rPr>
          <w:rFonts w:ascii="Times New Roman" w:cs="Times New Roman" w:eastAsia="Times New Roman" w:hAnsi="Times New Roman"/>
          <w:sz w:val="18"/>
          <w:szCs w:val="18"/>
          <w:color w:val="auto"/>
        </w:rPr>
        <w:t>. All decisions, determinations and interpretations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Plan, any rules and regulations under the Plan and the terms and conditions of any Award granted hereunder, shall be final and binding on all Participants and on all other persons. The Administrator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spacing w:after="0" w:line="141" w:lineRule="exact"/>
        <w:rPr>
          <w:rFonts w:ascii="Times New Roman" w:cs="Times New Roman" w:eastAsia="Times New Roman" w:hAnsi="Times New Roman"/>
          <w:sz w:val="18"/>
          <w:szCs w:val="18"/>
          <w:color w:val="auto"/>
        </w:rPr>
      </w:pPr>
    </w:p>
    <w:p>
      <w:pPr>
        <w:ind w:left="320" w:right="339" w:hanging="8"/>
        <w:spacing w:after="0" w:line="255" w:lineRule="auto"/>
        <w:tabs>
          <w:tab w:leader="none" w:pos="5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Vesting</w:t>
      </w:r>
      <w:r>
        <w:rPr>
          <w:rFonts w:ascii="Times New Roman" w:cs="Times New Roman" w:eastAsia="Times New Roman" w:hAnsi="Times New Roman"/>
          <w:sz w:val="18"/>
          <w:szCs w:val="18"/>
          <w:color w:val="auto"/>
        </w:rPr>
        <w:t>. Except in the case of death, Total and Permanent Disability, retirement or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in no event shall the vesting schedule of an Award provide that any portion of such Award will vest prior to the first anniversary of the Grant Date; provided, however, that (i) up to an aggregate of 5% of the maximum number of Shares that may be issued pursuant to Awards under this Plan may be issued without regard to the foregoing requirements, and (ii) Awards to non-employee Directors may vest on the earlier of the first anniversary of the Grant Date and the next annual meeting of stockholders, so long as such next annual meeting is at least 50 weeks after the immediately preceding year’s annual meeting and any such Awards shall not be counted against the 5% pool set forth in clause (i).</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5. Eligibility.</w:t>
      </w:r>
    </w:p>
    <w:p>
      <w:pPr>
        <w:spacing w:after="0" w:line="189" w:lineRule="exact"/>
        <w:rPr>
          <w:sz w:val="20"/>
          <w:szCs w:val="20"/>
          <w:color w:val="auto"/>
        </w:rPr>
      </w:pPr>
    </w:p>
    <w:p>
      <w:pPr>
        <w:ind w:left="300" w:right="359"/>
        <w:spacing w:after="0" w:line="312" w:lineRule="auto"/>
        <w:rPr>
          <w:sz w:val="20"/>
          <w:szCs w:val="20"/>
          <w:color w:val="auto"/>
        </w:rPr>
      </w:pPr>
      <w:r>
        <w:rPr>
          <w:rFonts w:ascii="Times New Roman" w:cs="Times New Roman" w:eastAsia="Times New Roman" w:hAnsi="Times New Roman"/>
          <w:sz w:val="17"/>
          <w:szCs w:val="17"/>
          <w:color w:val="auto"/>
        </w:rPr>
        <w:t>Awards may be granted to Employees, Consultants and Directors of the Company or any of its Affiliates; provided that Incentive Stock Options may be granted only to Employees of the Company or of a Subsidiary of the Company.</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6. Term of Plan.</w:t>
      </w:r>
    </w:p>
    <w:p>
      <w:pPr>
        <w:spacing w:after="0" w:line="202"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Plan shall become effective on the Effective Date. It shall continue in effect for a term of ten (10) years from the later of the Effective Date or the date any amendment to add shares to the Plan is approved by stockholders of the Company unless terminated earlier under Section 15 of the Plan.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7. Term of Award.</w:t>
      </w:r>
    </w:p>
    <w:p>
      <w:pPr>
        <w:spacing w:after="0" w:line="18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term of each Award shall be determined by the Administrator and stated in the Award Agreement. In the case of an Option, the term shall be ten (10) years from the Grant Date or such shorter term as may be provided in the Award Agreement; provided that an Incentive Stock Option granted to an Employee who on the Grant Date owns stock representing more than ten percent (10%) of the voting power of all classes of stock of the Company or any Subsidiary shall have a term of no more than five (5) years from the Grant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8"/>
          <w:szCs w:val="18"/>
          <w:b w:val="1"/>
          <w:bCs w:val="1"/>
          <w:color w:val="auto"/>
        </w:rPr>
        <w:t>8. Options.</w:t>
      </w:r>
    </w:p>
    <w:p>
      <w:pPr>
        <w:spacing w:after="0" w:line="18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Administrator may grant an Option or provide for the grant of an Option, either from time to time in the discretion of the Administrator or automatically upon the occurrence of specified events, including, without limitation, the achievement of performance goals, the satisfaction of an event or condition within the control of the Awardee or within the control of others.</w:t>
      </w:r>
    </w:p>
    <w:p>
      <w:pPr>
        <w:spacing w:after="0" w:line="151" w:lineRule="exact"/>
        <w:rPr>
          <w:sz w:val="20"/>
          <w:szCs w:val="20"/>
          <w:color w:val="auto"/>
        </w:rPr>
      </w:pPr>
    </w:p>
    <w:p>
      <w:pPr>
        <w:ind w:left="320" w:right="339" w:hanging="8"/>
        <w:spacing w:after="0" w:line="256" w:lineRule="auto"/>
        <w:tabs>
          <w:tab w:leader="none" w:pos="5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Agreement</w:t>
      </w:r>
      <w:r>
        <w:rPr>
          <w:rFonts w:ascii="Times New Roman" w:cs="Times New Roman" w:eastAsia="Times New Roman" w:hAnsi="Times New Roman"/>
          <w:sz w:val="18"/>
          <w:szCs w:val="18"/>
          <w:color w:val="auto"/>
        </w:rPr>
        <w:t>. Each Option Agreement shall contain provisions regarding (i) the number of Shares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issued upon exercise of the Option, (ii) the type of Option, (iii) the exercise price of the Shares and the means of payment for the Shares, (iv) the term of the Option, (v) such terms and conditions on the vesting and/or exercisability of an Option as may be determined from time to time by the Administrator, (vi) restrictions on the transfer of the Option or the Shares issued upon exercise of the Option and forfeiture provisions, and (vii) such further terms and conditions, in each case not inconsistent with this Plan as may be determined from time to time by the Administrator.</w:t>
      </w:r>
    </w:p>
    <w:p>
      <w:pPr>
        <w:spacing w:after="0" w:line="142" w:lineRule="exact"/>
        <w:rPr>
          <w:rFonts w:ascii="Times New Roman" w:cs="Times New Roman" w:eastAsia="Times New Roman" w:hAnsi="Times New Roman"/>
          <w:sz w:val="18"/>
          <w:szCs w:val="18"/>
          <w:color w:val="auto"/>
        </w:rPr>
      </w:pPr>
    </w:p>
    <w:p>
      <w:pPr>
        <w:ind w:left="320" w:right="319" w:hanging="8"/>
        <w:spacing w:after="0" w:line="284" w:lineRule="auto"/>
        <w:tabs>
          <w:tab w:leader="none" w:pos="5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Administrator, subject to the following:</w:t>
      </w:r>
    </w:p>
    <w:p>
      <w:pPr>
        <w:spacing w:after="0" w:line="120" w:lineRule="exact"/>
        <w:rPr>
          <w:sz w:val="20"/>
          <w:szCs w:val="20"/>
          <w:color w:val="auto"/>
        </w:rPr>
      </w:pPr>
    </w:p>
    <w:p>
      <w:pPr>
        <w:ind w:left="360" w:right="299"/>
        <w:spacing w:after="0" w:line="256" w:lineRule="auto"/>
        <w:rPr>
          <w:sz w:val="20"/>
          <w:szCs w:val="20"/>
          <w:color w:val="auto"/>
        </w:rPr>
      </w:pPr>
      <w:r>
        <w:rPr>
          <w:rFonts w:ascii="Times New Roman" w:cs="Times New Roman" w:eastAsia="Times New Roman" w:hAnsi="Times New Roman"/>
          <w:sz w:val="18"/>
          <w:szCs w:val="18"/>
          <w:color w:val="auto"/>
        </w:rPr>
        <w:t>i. In the case of an Incentive Stock Option, the per Share exercise price shall be no less than one hundred percent (100%) of the Fair Market Value per Share on the Grant Date; provided however, that in the case of an Incentive Stock Option granted to an Employee who on the Grant Date owns stock representing more than ten percent (10%) of the total combined voting power of all classes of stock of the Company or any Parent or Subsidiary, the per Share exercise price shall be no less than one hundred ten percent (110%) of the Fair Market Value per Share on the Grant Date.</w:t>
      </w:r>
    </w:p>
    <w:p>
      <w:pPr>
        <w:spacing w:after="0" w:line="147" w:lineRule="exact"/>
        <w:rPr>
          <w:sz w:val="20"/>
          <w:szCs w:val="20"/>
          <w:color w:val="auto"/>
        </w:rPr>
      </w:pPr>
    </w:p>
    <w:p>
      <w:pPr>
        <w:ind w:left="360" w:right="319" w:hanging="9"/>
        <w:spacing w:after="0" w:line="282" w:lineRule="auto"/>
        <w:tabs>
          <w:tab w:leader="none" w:pos="5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Nonstatutory Stock Option, the per Share exercise price shall be no less than one hundred percent (100%) of the Fair Market Value per Share on the Grant Date.</w:t>
      </w:r>
    </w:p>
    <w:p>
      <w:pPr>
        <w:spacing w:after="0" w:line="161" w:lineRule="exact"/>
        <w:rPr>
          <w:rFonts w:ascii="Times New Roman" w:cs="Times New Roman" w:eastAsia="Times New Roman" w:hAnsi="Times New Roman"/>
          <w:sz w:val="18"/>
          <w:szCs w:val="18"/>
          <w:color w:val="auto"/>
        </w:rPr>
      </w:pPr>
    </w:p>
    <w:p>
      <w:pPr>
        <w:ind w:left="360" w:right="379" w:hanging="9"/>
        <w:spacing w:after="0" w:line="266" w:lineRule="auto"/>
        <w:tabs>
          <w:tab w:leader="none" w:pos="6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at the Administrator’s discretion, Conversion Awards may be granted in substitution and/or conversion of options of an acquired entity, with a per Share exercise price of less than 100% of the Fair Market Value per Share on the date of such substitution and/or conversion.</w:t>
      </w:r>
    </w:p>
    <w:p>
      <w:pPr>
        <w:spacing w:after="0" w:line="133" w:lineRule="exact"/>
        <w:rPr>
          <w:rFonts w:ascii="Times New Roman" w:cs="Times New Roman" w:eastAsia="Times New Roman" w:hAnsi="Times New Roman"/>
          <w:sz w:val="18"/>
          <w:szCs w:val="18"/>
          <w:color w:val="auto"/>
        </w:rPr>
      </w:pPr>
    </w:p>
    <w:p>
      <w:pPr>
        <w:ind w:left="320" w:right="319" w:hanging="8"/>
        <w:spacing w:after="0" w:line="256" w:lineRule="auto"/>
        <w:tabs>
          <w:tab w:leader="none" w:pos="5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Period and Exercise Dates</w:t>
      </w:r>
      <w:r>
        <w:rPr>
          <w:rFonts w:ascii="Times New Roman" w:cs="Times New Roman" w:eastAsia="Times New Roman" w:hAnsi="Times New Roman"/>
          <w:sz w:val="18"/>
          <w:szCs w:val="18"/>
          <w:color w:val="auto"/>
        </w:rPr>
        <w:t>. Options granted under this Plan shall vest and/or be exercisable at such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such installments during the period prior to the expiration of the Option’s term as determined by the Administrator. The Administrator shall have the right to make the timing of the ability to exercise any Option granted under this Plan subject to continued employment, the passage of time and/or such performance requirements as deemed appropriate by the Administrator, or to grant fully vested Options. At any time after the grant of an Option, the Administrator may reduce or eliminate any restrictions surrounding any Participant’s right to exercise all or part of the Option.</w:t>
      </w:r>
    </w:p>
    <w:p>
      <w:pPr>
        <w:spacing w:after="0" w:line="155" w:lineRule="exact"/>
        <w:rPr>
          <w:rFonts w:ascii="Times New Roman" w:cs="Times New Roman" w:eastAsia="Times New Roman" w:hAnsi="Times New Roman"/>
          <w:sz w:val="18"/>
          <w:szCs w:val="18"/>
          <w:color w:val="auto"/>
        </w:rPr>
      </w:pPr>
    </w:p>
    <w:p>
      <w:pPr>
        <w:ind w:left="320" w:right="499" w:hanging="8"/>
        <w:spacing w:after="0" w:line="267" w:lineRule="auto"/>
        <w:tabs>
          <w:tab w:leader="none" w:pos="5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of Consideration</w:t>
      </w:r>
      <w:r>
        <w:rPr>
          <w:rFonts w:ascii="Times New Roman" w:cs="Times New Roman" w:eastAsia="Times New Roman" w:hAnsi="Times New Roman"/>
          <w:sz w:val="18"/>
          <w:szCs w:val="18"/>
          <w:color w:val="auto"/>
        </w:rPr>
        <w:t>. The Administrator shall determine the acceptable form of consideration for exercising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Option, including the method of payment, either through the terms of the Option Agreement or at the time of exercise of an Option. Acceptable forms of consideration may include:</w:t>
      </w:r>
    </w:p>
    <w:p>
      <w:pPr>
        <w:spacing w:after="0" w:line="134" w:lineRule="exact"/>
        <w:rPr>
          <w:rFonts w:ascii="Times New Roman" w:cs="Times New Roman" w:eastAsia="Times New Roman" w:hAnsi="Times New Roman"/>
          <w:sz w:val="18"/>
          <w:szCs w:val="18"/>
          <w:color w:val="auto"/>
        </w:rPr>
      </w:pPr>
    </w:p>
    <w:p>
      <w:pPr>
        <w:ind w:left="500" w:hanging="149"/>
        <w:spacing w:after="0"/>
        <w:tabs>
          <w:tab w:leader="none" w:pos="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84" w:lineRule="exact"/>
        <w:rPr>
          <w:rFonts w:ascii="Times New Roman" w:cs="Times New Roman" w:eastAsia="Times New Roman" w:hAnsi="Times New Roman"/>
          <w:sz w:val="18"/>
          <w:szCs w:val="18"/>
          <w:color w:val="auto"/>
        </w:rPr>
      </w:pPr>
    </w:p>
    <w:p>
      <w:pPr>
        <w:ind w:left="540" w:hanging="189"/>
        <w:spacing w:after="0"/>
        <w:tabs>
          <w:tab w:leader="none" w:pos="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or wire transfer (denominated in U.S. Dollars);</w:t>
      </w:r>
    </w:p>
    <w:p>
      <w:pPr>
        <w:spacing w:after="0" w:line="184" w:lineRule="exact"/>
        <w:rPr>
          <w:rFonts w:ascii="Times New Roman" w:cs="Times New Roman" w:eastAsia="Times New Roman" w:hAnsi="Times New Roman"/>
          <w:sz w:val="18"/>
          <w:szCs w:val="18"/>
          <w:color w:val="auto"/>
        </w:rPr>
      </w:pPr>
    </w:p>
    <w:p>
      <w:pPr>
        <w:ind w:left="600" w:hanging="249"/>
        <w:spacing w:after="0"/>
        <w:tabs>
          <w:tab w:leader="none" w:pos="6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Company’s discretion to refuse for any reason and at any time to accept such consideration and</w:t>
      </w:r>
    </w:p>
    <w:p>
      <w:pPr>
        <w:spacing w:after="0" w:line="27" w:lineRule="exact"/>
        <w:rPr>
          <w:rFonts w:ascii="Times New Roman" w:cs="Times New Roman" w:eastAsia="Times New Roman" w:hAnsi="Times New Roman"/>
          <w:sz w:val="18"/>
          <w:szCs w:val="18"/>
          <w:color w:val="auto"/>
        </w:rPr>
      </w:pPr>
    </w:p>
    <w:p>
      <w:pPr>
        <w:ind w:left="360" w:right="3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conditions or limitations established by the Administrator, other Shares held by the Participant which have a Fair Market Value on the date of surrender equal to the aggregate exercise price of the Shares as to which said Option shall be exercised;</w:t>
      </w:r>
    </w:p>
    <w:p>
      <w:pPr>
        <w:spacing w:after="0" w:line="145" w:lineRule="exact"/>
        <w:rPr>
          <w:rFonts w:ascii="Times New Roman" w:cs="Times New Roman" w:eastAsia="Times New Roman" w:hAnsi="Times New Roman"/>
          <w:sz w:val="18"/>
          <w:szCs w:val="18"/>
          <w:color w:val="auto"/>
        </w:rPr>
      </w:pPr>
    </w:p>
    <w:p>
      <w:pPr>
        <w:ind w:left="360" w:right="539" w:hanging="9"/>
        <w:spacing w:after="0" w:line="282" w:lineRule="auto"/>
        <w:tabs>
          <w:tab w:leader="none" w:pos="57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broker-assisted sale and remittance program acceptable to the Administrator;</w:t>
      </w:r>
    </w:p>
    <w:p>
      <w:pPr>
        <w:spacing w:after="0" w:line="121" w:lineRule="exact"/>
        <w:rPr>
          <w:rFonts w:ascii="Times New Roman" w:cs="Times New Roman" w:eastAsia="Times New Roman" w:hAnsi="Times New Roman"/>
          <w:sz w:val="18"/>
          <w:szCs w:val="18"/>
          <w:color w:val="auto"/>
        </w:rPr>
      </w:pPr>
    </w:p>
    <w:p>
      <w:pPr>
        <w:ind w:left="360" w:right="499" w:hanging="9"/>
        <w:spacing w:after="0" w:line="312" w:lineRule="auto"/>
        <w:tabs>
          <w:tab w:leader="none" w:pos="528"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cashless “net exercise” arrangement pursuant to which the Company will reduce the number of Shares issued upon exercise by the largest whole number of Shares having an aggregate Fair Market Value that does not exceed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66" w:name="page67"/>
    <w:bookmarkEnd w:id="66"/>
    <w:p>
      <w:pPr>
        <w:jc w:val="both"/>
        <w:ind w:left="360" w:right="439"/>
        <w:spacing w:after="0" w:line="266" w:lineRule="auto"/>
        <w:rPr>
          <w:sz w:val="20"/>
          <w:szCs w:val="20"/>
          <w:color w:val="auto"/>
        </w:rPr>
      </w:pPr>
      <w:r>
        <w:rPr>
          <w:rFonts w:ascii="Times New Roman" w:cs="Times New Roman" w:eastAsia="Times New Roman" w:hAnsi="Times New Roman"/>
          <w:sz w:val="18"/>
          <w:szCs w:val="18"/>
          <w:color w:val="auto"/>
        </w:rPr>
        <w:t>the aggregate exercise price; provided that the Company shall accept a cash or other payment from the Participant to the extent of any remaining balance of the exercise price not satisfied by such reduction in the number of whole Shares to be issued;</w:t>
      </w:r>
    </w:p>
    <w:p>
      <w:pPr>
        <w:spacing w:after="0" w:line="135" w:lineRule="exact"/>
        <w:rPr>
          <w:sz w:val="20"/>
          <w:szCs w:val="20"/>
          <w:color w:val="auto"/>
        </w:rPr>
      </w:pPr>
    </w:p>
    <w:p>
      <w:pPr>
        <w:ind w:left="360" w:right="299" w:hanging="9"/>
        <w:spacing w:after="0" w:line="282" w:lineRule="auto"/>
        <w:tabs>
          <w:tab w:leader="none" w:pos="59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consideration and method of payment for the issuance of Shares to the extent permitted by Applicable Laws; or</w:t>
      </w:r>
    </w:p>
    <w:p>
      <w:pPr>
        <w:spacing w:after="0" w:line="134" w:lineRule="exact"/>
        <w:rPr>
          <w:rFonts w:ascii="Times New Roman" w:cs="Times New Roman" w:eastAsia="Times New Roman" w:hAnsi="Times New Roman"/>
          <w:sz w:val="18"/>
          <w:szCs w:val="18"/>
          <w:color w:val="auto"/>
        </w:rPr>
      </w:pPr>
    </w:p>
    <w:p>
      <w:pPr>
        <w:ind w:left="640" w:hanging="289"/>
        <w:spacing w:after="0"/>
        <w:tabs>
          <w:tab w:leader="none" w:pos="6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w:t>
      </w:r>
    </w:p>
    <w:p>
      <w:pPr>
        <w:spacing w:after="0" w:line="182" w:lineRule="exact"/>
        <w:rPr>
          <w:rFonts w:ascii="Times New Roman" w:cs="Times New Roman" w:eastAsia="Times New Roman" w:hAnsi="Times New Roman"/>
          <w:sz w:val="18"/>
          <w:szCs w:val="18"/>
          <w:color w:val="auto"/>
        </w:rPr>
      </w:pPr>
    </w:p>
    <w:p>
      <w:pPr>
        <w:ind w:left="320" w:right="479" w:hanging="8"/>
        <w:spacing w:after="0" w:line="267" w:lineRule="auto"/>
        <w:tabs>
          <w:tab w:leader="none" w:pos="5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Option (or Stock Appreciation Right) Repricings</w:t>
      </w:r>
      <w:r>
        <w:rPr>
          <w:rFonts w:ascii="Times New Roman" w:cs="Times New Roman" w:eastAsia="Times New Roman" w:hAnsi="Times New Roman"/>
          <w:sz w:val="18"/>
          <w:szCs w:val="18"/>
          <w:color w:val="auto"/>
        </w:rPr>
        <w:t>. Other than in connection with a change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(as described in Section 14(a) of the Plan), a Repricing (as defined below) is prohibited without approval by the stockholders of the Company.</w:t>
      </w:r>
    </w:p>
    <w:p>
      <w:pPr>
        <w:spacing w:after="0" w:line="171" w:lineRule="exact"/>
        <w:rPr>
          <w:sz w:val="20"/>
          <w:szCs w:val="20"/>
          <w:color w:val="auto"/>
        </w:rPr>
      </w:pPr>
    </w:p>
    <w:p>
      <w:pPr>
        <w:ind w:left="320" w:right="37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Repricing</w:t>
      </w:r>
      <w:r>
        <w:rPr>
          <w:rFonts w:ascii="Times New Roman" w:cs="Times New Roman" w:eastAsia="Times New Roman" w:hAnsi="Times New Roman"/>
          <w:sz w:val="18"/>
          <w:szCs w:val="18"/>
          <w:color w:val="auto"/>
        </w:rPr>
        <w:t>” means any of the following or any other action that has the same purpose and effect: (a) lowering the exercise price of an outstanding Option or Stock Appreciation Right granted under this Plan after it is granted; (b) any other action affecting an outstanding Option or Stock Appreciation Right granted under this Plan that is treated as a repricing under United States generally accepted accounting principles; (c) canceling an outstanding Option or Stock Appreciation Right granted under this Plan at a time when its exercise or purchase price exceeds the then fair market value of the stock underlying such outstanding Option or Stock Appreciation Right, in exchange for another Option or Stock Appreciation Right or a cash payment, unless the cancellation and exchange occurs in connection with a merger, consolidation, sale of substantially all the Company’s assets, acquisition, spin-off, spin-out, or other similar corporate transaction.</w:t>
      </w:r>
    </w:p>
    <w:p>
      <w:pPr>
        <w:spacing w:after="0" w:line="188" w:lineRule="exact"/>
        <w:rPr>
          <w:sz w:val="20"/>
          <w:szCs w:val="20"/>
          <w:color w:val="auto"/>
        </w:rPr>
      </w:pPr>
    </w:p>
    <w:p>
      <w:pPr>
        <w:ind w:left="480" w:hanging="188"/>
        <w:spacing w:after="0"/>
        <w:tabs>
          <w:tab w:leader="none" w:pos="4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Termination of Continuous Service on Awards</w:t>
      </w:r>
    </w:p>
    <w:p>
      <w:pPr>
        <w:spacing w:after="0" w:line="186" w:lineRule="exact"/>
        <w:rPr>
          <w:rFonts w:ascii="Times New Roman" w:cs="Times New Roman" w:eastAsia="Times New Roman" w:hAnsi="Times New Roman"/>
          <w:sz w:val="18"/>
          <w:szCs w:val="18"/>
          <w:b w:val="1"/>
          <w:bCs w:val="1"/>
          <w:color w:val="auto"/>
        </w:rPr>
      </w:pPr>
    </w:p>
    <w:p>
      <w:pPr>
        <w:ind w:left="320" w:right="359" w:hanging="8"/>
        <w:spacing w:after="0" w:line="254" w:lineRule="auto"/>
        <w:tabs>
          <w:tab w:leader="none" w:pos="56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Unless otherwise provided for by the Administrator, upon an Awardee’s Termination of Continuous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other than as a result of circumstances described in Sections 9(b), (c), (d) and (e) below, all outstanding Awards granted to such Awardee that were vested and exercisable as of the date of the Awardee’s Termination of Continuous Service may be exercised by the Awardee until the earlier of (A) three (3) months following Awardee’s Termination of Continuous Service or (B) the expiration of the term of such Award; provided, however, that the Administrator may in the Award Agreement specify a period of time (but not beyond the expiration date of the Award) following Termination of Continuous Service during which the Awardee may exercise the Award as to Shares that were vested and exercisable as of the date of Termination of Continuous Service. To the extent such a period following Termination of Continuous Service is specified, the Award shall automatically terminate at the end of such period to the extent the Awardee has not exercised it within such period.</w:t>
      </w:r>
    </w:p>
    <w:p>
      <w:pPr>
        <w:spacing w:after="0" w:line="144" w:lineRule="exact"/>
        <w:rPr>
          <w:rFonts w:ascii="Times New Roman" w:cs="Times New Roman" w:eastAsia="Times New Roman" w:hAnsi="Times New Roman"/>
          <w:sz w:val="18"/>
          <w:szCs w:val="18"/>
          <w:color w:val="auto"/>
        </w:rPr>
      </w:pPr>
    </w:p>
    <w:p>
      <w:pPr>
        <w:ind w:left="320" w:right="319" w:hanging="8"/>
        <w:spacing w:after="0" w:line="256" w:lineRule="auto"/>
        <w:tabs>
          <w:tab w:leader="none" w:pos="57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Disability of Awardee</w:t>
      </w:r>
      <w:r>
        <w:rPr>
          <w:rFonts w:ascii="Times New Roman" w:cs="Times New Roman" w:eastAsia="Times New Roman" w:hAnsi="Times New Roman"/>
          <w:sz w:val="18"/>
          <w:szCs w:val="18"/>
          <w:color w:val="auto"/>
        </w:rPr>
        <w:t>. Unless otherwise provided for by the Administrator, upon an Awardee’s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Continuous Service as a result of the Awardee’s disability, including Total and Permanent Disability, all outstanding Awards granted to such Awardee that were vested and exercisable as of the date of the Awardee’s Termination of Continuous Service may be exercised by the Awardee until the earlier of (A) twelve (12) months following Awardee’s Termination of Continuous Service as a result of Awardee’s disability, including Total and Permanent Disability or (B) the expiration of the term of such Award. If the Participant does not exercise such Award within the time specified, the Award (to the extent not exercised) shall automatically terminate.</w:t>
      </w:r>
    </w:p>
    <w:p>
      <w:pPr>
        <w:spacing w:after="0" w:line="142" w:lineRule="exact"/>
        <w:rPr>
          <w:rFonts w:ascii="Times New Roman" w:cs="Times New Roman" w:eastAsia="Times New Roman" w:hAnsi="Times New Roman"/>
          <w:sz w:val="18"/>
          <w:szCs w:val="18"/>
          <w:color w:val="auto"/>
        </w:rPr>
      </w:pPr>
    </w:p>
    <w:p>
      <w:pPr>
        <w:ind w:left="320" w:right="319" w:hanging="8"/>
        <w:spacing w:after="0" w:line="253" w:lineRule="auto"/>
        <w:tabs>
          <w:tab w:leader="none" w:pos="56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of Awardee</w:t>
      </w:r>
      <w:r>
        <w:rPr>
          <w:rFonts w:ascii="Times New Roman" w:cs="Times New Roman" w:eastAsia="Times New Roman" w:hAnsi="Times New Roman"/>
          <w:sz w:val="18"/>
          <w:szCs w:val="18"/>
          <w:color w:val="auto"/>
        </w:rPr>
        <w:t>. Unless otherwise provided for by the Administrator, upon an Awardee’s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Continuous Service as a result of the Awardee’s death, all outstanding Awards granted to such Awardee that were vested and exercisable as of the date of the Awardee’s death may be exercised until the earlier of (A) twelve (12) months following the Awardee’s death or (B) the expiration of the term of such Award. If an Award is held by the Awardee when he or she dies, such Award may be exercised, to the extent the Award is vested and exercisable, by the beneficiary designated by the Awardee (as provided in Section 16 of the Plan), the executor or administrator of the Awardee’s estate or, if none, by the person(s) entitled to exercise the Award under the Awardee’s will or the laws of descent or distribution; provided that the Company need not accept exercise of an Award by such beneficiary, executor or administrator unless the Company has satisfactory evidence of such person’s authority to act as such. If the Award is not so exercised within the time specified, such Award (to the extent not exercised) shall automatically terminate. The Awardee’s service shall be deemed to have terminated on account of death if the Awardee dies within three (3) months (or such longer period as determined by the Administrator, in its discretion) after the Awardee’s Termination of Continuous Service.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67" w:name="page68"/>
    <w:bookmarkEnd w:id="67"/>
    <w:p>
      <w:pPr>
        <w:ind w:left="320" w:right="359" w:hanging="8"/>
        <w:spacing w:after="0" w:line="290" w:lineRule="auto"/>
        <w:tabs>
          <w:tab w:leader="none" w:pos="575"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for Cause. </w:t>
      </w:r>
      <w:r>
        <w:rPr>
          <w:rFonts w:ascii="Times New Roman" w:cs="Times New Roman" w:eastAsia="Times New Roman" w:hAnsi="Times New Roman"/>
          <w:sz w:val="17"/>
          <w:szCs w:val="17"/>
          <w:color w:val="auto"/>
        </w:rPr>
        <w:t>The Administrator has the authority to cause all outstanding Awards held by an Awardee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terminate immediately in their entirety (including as to vested Awards) upon first notification to the Awardee of the Awardee’s Termination of Continuous Service for Cause in accordance with Section 4(b)(xvi) above.</w:t>
      </w:r>
    </w:p>
    <w:p>
      <w:pPr>
        <w:spacing w:after="0" w:line="114" w:lineRule="exact"/>
        <w:rPr>
          <w:rFonts w:ascii="Times New Roman" w:cs="Times New Roman" w:eastAsia="Times New Roman" w:hAnsi="Times New Roman"/>
          <w:sz w:val="17"/>
          <w:szCs w:val="17"/>
          <w:color w:val="auto"/>
        </w:rPr>
      </w:pPr>
    </w:p>
    <w:p>
      <w:pPr>
        <w:ind w:left="320" w:right="319" w:hanging="8"/>
        <w:spacing w:after="0" w:line="315" w:lineRule="auto"/>
        <w:tabs>
          <w:tab w:leader="none" w:pos="565"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Other Terminations of Continuous Service. </w:t>
      </w:r>
      <w:r>
        <w:rPr>
          <w:rFonts w:ascii="Times New Roman" w:cs="Times New Roman" w:eastAsia="Times New Roman" w:hAnsi="Times New Roman"/>
          <w:sz w:val="17"/>
          <w:szCs w:val="17"/>
          <w:color w:val="auto"/>
        </w:rPr>
        <w:t>The Administrator may provide in the applicable Award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different treatment of Awards upon Termination of Continuous Service of the Awardee than that specified above.</w:t>
      </w:r>
    </w:p>
    <w:p>
      <w:pPr>
        <w:spacing w:after="0" w:line="94" w:lineRule="exact"/>
        <w:rPr>
          <w:rFonts w:ascii="Times New Roman" w:cs="Times New Roman" w:eastAsia="Times New Roman" w:hAnsi="Times New Roman"/>
          <w:sz w:val="17"/>
          <w:szCs w:val="17"/>
          <w:color w:val="auto"/>
        </w:rPr>
      </w:pPr>
    </w:p>
    <w:p>
      <w:pPr>
        <w:ind w:left="320" w:right="379" w:hanging="8"/>
        <w:spacing w:after="0" w:line="258" w:lineRule="auto"/>
        <w:tabs>
          <w:tab w:leader="none" w:pos="54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Extension of Exercise Period. </w:t>
      </w:r>
      <w:r>
        <w:rPr>
          <w:rFonts w:ascii="Times New Roman" w:cs="Times New Roman" w:eastAsia="Times New Roman" w:hAnsi="Times New Roman"/>
          <w:sz w:val="18"/>
          <w:szCs w:val="18"/>
          <w:color w:val="auto"/>
        </w:rPr>
        <w:t>The Administrator shall have full power and authority to extend the period of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which an Award is to remain exercisable following an Awardee’s Termination of Continuous Service from the periods set forth in Sections 9(a), (b), (c), (d) and (e) above or in the Award Agreement to such greater time as the Administrator shall deem appropriate, provided that in no event shall such Award be exercisable later than the date of expiration of the term of such Award as set forth in the Award Agreement.</w:t>
      </w:r>
    </w:p>
    <w:p>
      <w:pPr>
        <w:spacing w:after="0" w:line="156" w:lineRule="exact"/>
        <w:rPr>
          <w:rFonts w:ascii="Times New Roman" w:cs="Times New Roman" w:eastAsia="Times New Roman" w:hAnsi="Times New Roman"/>
          <w:sz w:val="18"/>
          <w:szCs w:val="18"/>
          <w:color w:val="auto"/>
        </w:rPr>
      </w:pPr>
    </w:p>
    <w:p>
      <w:pPr>
        <w:jc w:val="both"/>
        <w:ind w:left="320" w:right="399" w:hanging="8"/>
        <w:spacing w:after="0" w:line="281" w:lineRule="auto"/>
        <w:tabs>
          <w:tab w:leader="none" w:pos="575"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Extension if Exercise Prevented by Law. </w:t>
      </w:r>
      <w:r>
        <w:rPr>
          <w:rFonts w:ascii="Times New Roman" w:cs="Times New Roman" w:eastAsia="Times New Roman" w:hAnsi="Times New Roman"/>
          <w:sz w:val="17"/>
          <w:szCs w:val="17"/>
          <w:color w:val="auto"/>
        </w:rPr>
        <w:t>Notwithstanding the foregoing, other than a termination for Cause, if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within the applicable time periods set forth in Section 9(a), (b), (c) and (e) above or in the Award Agreement is prevented by Section 18 below, the Award shall remain exercisable until thirty (30) days after the date the Awardee is notified by the Company that the Award is exercisable, but in any event no later than the Award expiration date.</w:t>
      </w:r>
    </w:p>
    <w:p>
      <w:pPr>
        <w:spacing w:after="0" w:line="123" w:lineRule="exact"/>
        <w:rPr>
          <w:rFonts w:ascii="Times New Roman" w:cs="Times New Roman" w:eastAsia="Times New Roman" w:hAnsi="Times New Roman"/>
          <w:sz w:val="17"/>
          <w:szCs w:val="17"/>
          <w:color w:val="auto"/>
        </w:rPr>
      </w:pPr>
    </w:p>
    <w:p>
      <w:pPr>
        <w:ind w:left="320" w:right="319" w:hanging="8"/>
        <w:spacing w:after="0" w:line="233" w:lineRule="auto"/>
        <w:tabs>
          <w:tab w:leader="none" w:pos="57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Extension if Subject to Section 16(b). </w:t>
      </w:r>
      <w:r>
        <w:rPr>
          <w:rFonts w:ascii="Times New Roman" w:cs="Times New Roman" w:eastAsia="Times New Roman" w:hAnsi="Times New Roman"/>
          <w:sz w:val="18"/>
          <w:szCs w:val="18"/>
          <w:color w:val="auto"/>
        </w:rPr>
        <w:t>Notwithstanding the foregoing, other than a termination for Cause, if a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applicable time periods set forth in Section 9(a), (b), (c) and (e) above or in the Award Agreement would subject the Awardee to a suit under Section 16(b) of the Exchange Act, the Award shall remain exercisable until the earliest to occur of (i) the tenth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day following the date on which a sale of shares by the Awardee would no longer be subject to suit, (ii) the one hundred ninetieth (190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day after Awardee’s Termination of Continuous Service, or (iii) the Award expiration date.</w:t>
      </w:r>
    </w:p>
    <w:p>
      <w:pPr>
        <w:spacing w:after="0" w:line="156" w:lineRule="exact"/>
        <w:rPr>
          <w:rFonts w:ascii="Times New Roman" w:cs="Times New Roman" w:eastAsia="Times New Roman" w:hAnsi="Times New Roman"/>
          <w:sz w:val="18"/>
          <w:szCs w:val="18"/>
          <w:color w:val="auto"/>
        </w:rPr>
      </w:pPr>
    </w:p>
    <w:p>
      <w:pPr>
        <w:ind w:left="560" w:hanging="268"/>
        <w:spacing w:after="0"/>
        <w:tabs>
          <w:tab w:leader="none" w:pos="5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Stock Option Limitations/Terms.</w:t>
      </w:r>
    </w:p>
    <w:p>
      <w:pPr>
        <w:spacing w:after="0" w:line="186" w:lineRule="exact"/>
        <w:rPr>
          <w:rFonts w:ascii="Times New Roman" w:cs="Times New Roman" w:eastAsia="Times New Roman" w:hAnsi="Times New Roman"/>
          <w:sz w:val="18"/>
          <w:szCs w:val="18"/>
          <w:b w:val="1"/>
          <w:bCs w:val="1"/>
          <w:color w:val="auto"/>
        </w:rPr>
      </w:pPr>
    </w:p>
    <w:p>
      <w:pPr>
        <w:ind w:left="320" w:right="479" w:hanging="8"/>
        <w:spacing w:after="0" w:line="315" w:lineRule="auto"/>
        <w:tabs>
          <w:tab w:leader="none" w:pos="565"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Only employees (as determined in accordance with Section 3401(c) of the Code and the regulations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promulgated thereunder) of the Company or any of its Subsidiaries may be granted Incentive Stock Options.</w:t>
      </w:r>
    </w:p>
    <w:p>
      <w:pPr>
        <w:spacing w:after="0" w:line="94" w:lineRule="exact"/>
        <w:rPr>
          <w:rFonts w:ascii="Times New Roman" w:cs="Times New Roman" w:eastAsia="Times New Roman" w:hAnsi="Times New Roman"/>
          <w:sz w:val="17"/>
          <w:szCs w:val="17"/>
          <w:color w:val="auto"/>
        </w:rPr>
      </w:pPr>
    </w:p>
    <w:p>
      <w:pPr>
        <w:ind w:left="320" w:right="379" w:hanging="8"/>
        <w:spacing w:after="0" w:line="257" w:lineRule="auto"/>
        <w:tabs>
          <w:tab w:leader="none" w:pos="57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$100,000 Limitation. </w:t>
      </w:r>
      <w:r>
        <w:rPr>
          <w:rFonts w:ascii="Times New Roman" w:cs="Times New Roman" w:eastAsia="Times New Roman" w:hAnsi="Times New Roman"/>
          <w:sz w:val="18"/>
          <w:szCs w:val="18"/>
          <w:color w:val="auto"/>
        </w:rPr>
        <w:t>Notwithstanding the designation “Incentive Stock Option” in an Option Agreement, if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that the aggregate Fair Market Value of the Shares with respect to which Incentive Stock Options are exercisable for the first time by the Awardee during any calendar year (under all plans of the Company and any of its Subsidiaries) exceeds U.S. $100,000, such Options shall be treated as Nonstatutory Stock Options. For purposes of this Section 10(b), Incentive Stock Options shall be taken into account in the order in which they were granted. The Fair Market Value of the Shares shall be determined as of the Grant Date.</w:t>
      </w:r>
    </w:p>
    <w:p>
      <w:pPr>
        <w:spacing w:after="0" w:line="155" w:lineRule="exact"/>
        <w:rPr>
          <w:rFonts w:ascii="Times New Roman" w:cs="Times New Roman" w:eastAsia="Times New Roman" w:hAnsi="Times New Roman"/>
          <w:sz w:val="18"/>
          <w:szCs w:val="18"/>
          <w:color w:val="auto"/>
        </w:rPr>
      </w:pPr>
    </w:p>
    <w:p>
      <w:pPr>
        <w:ind w:left="320" w:right="619" w:hanging="8"/>
        <w:spacing w:after="0" w:line="258" w:lineRule="auto"/>
        <w:tabs>
          <w:tab w:leader="none" w:pos="56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An Incentive Stock Option may not be sold, pledged, assigned, hypothecated, transferred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disposed of in any manner by the Awardee otherwise than by will or the laws of descent and distribution, and, during the lifetime of such Awardee, may only be exercised by the Awardee. If the terms of an Incentive Stock Option are amended to permit transferability, the Option will be treated for tax purposes as a Nonstatutory Stock Option. The designation of a beneficiary by an Awardee will not constitute a transfer.</w:t>
      </w:r>
    </w:p>
    <w:p>
      <w:pPr>
        <w:spacing w:after="0" w:line="143" w:lineRule="exact"/>
        <w:rPr>
          <w:sz w:val="20"/>
          <w:szCs w:val="20"/>
          <w:color w:val="auto"/>
        </w:rPr>
      </w:pPr>
    </w:p>
    <w:p>
      <w:pPr>
        <w:ind w:left="300" w:right="1179" w:firstLine="37"/>
        <w:spacing w:after="0" w:line="284" w:lineRule="auto"/>
        <w:tabs>
          <w:tab w:leader="none" w:pos="6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per Share exercise price of an Incentive Stock Option shall be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in accordance with Section 8(b)(i) of the Plan.</w:t>
      </w:r>
    </w:p>
    <w:p>
      <w:pPr>
        <w:spacing w:after="0" w:line="117" w:lineRule="exact"/>
        <w:rPr>
          <w:rFonts w:ascii="Times New Roman" w:cs="Times New Roman" w:eastAsia="Times New Roman" w:hAnsi="Times New Roman"/>
          <w:sz w:val="18"/>
          <w:szCs w:val="18"/>
          <w:color w:val="auto"/>
        </w:rPr>
      </w:pPr>
    </w:p>
    <w:p>
      <w:pPr>
        <w:jc w:val="both"/>
        <w:ind w:left="320" w:right="939" w:hanging="8"/>
        <w:spacing w:after="0" w:line="267" w:lineRule="auto"/>
        <w:tabs>
          <w:tab w:leader="none" w:pos="5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Terms. </w:t>
      </w:r>
      <w:r>
        <w:rPr>
          <w:rFonts w:ascii="Times New Roman" w:cs="Times New Roman" w:eastAsia="Times New Roman" w:hAnsi="Times New Roman"/>
          <w:sz w:val="18"/>
          <w:szCs w:val="18"/>
          <w:color w:val="auto"/>
        </w:rPr>
        <w:t>Option Agreements evidencing Incentive Stock Options shall contain such other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as may be necessary to qualify, to the extent determined desirable by the Administrator, with the applicable provisions of Section 422 of the Code.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68" w:name="page69"/>
    <w:bookmarkEnd w:id="68"/>
    <w:p>
      <w:pPr>
        <w:ind w:left="560" w:hanging="268"/>
        <w:spacing w:after="0"/>
        <w:tabs>
          <w:tab w:leader="none" w:pos="5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Award.</w:t>
      </w:r>
    </w:p>
    <w:p>
      <w:pPr>
        <w:spacing w:after="0" w:line="186" w:lineRule="exact"/>
        <w:rPr>
          <w:rFonts w:ascii="Times New Roman" w:cs="Times New Roman" w:eastAsia="Times New Roman" w:hAnsi="Times New Roman"/>
          <w:sz w:val="18"/>
          <w:szCs w:val="18"/>
          <w:b w:val="1"/>
          <w:bCs w:val="1"/>
          <w:color w:val="auto"/>
        </w:rPr>
      </w:pPr>
    </w:p>
    <w:p>
      <w:pPr>
        <w:ind w:left="560" w:hanging="248"/>
        <w:spacing w:after="0"/>
        <w:tabs>
          <w:tab w:leader="none" w:pos="5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 for Exercise.</w:t>
      </w:r>
    </w:p>
    <w:p>
      <w:pPr>
        <w:spacing w:after="0" w:line="200" w:lineRule="exact"/>
        <w:rPr>
          <w:sz w:val="20"/>
          <w:szCs w:val="20"/>
          <w:color w:val="auto"/>
        </w:rPr>
      </w:pPr>
    </w:p>
    <w:p>
      <w:pPr>
        <w:ind w:left="360" w:right="379"/>
        <w:spacing w:after="0" w:line="282" w:lineRule="auto"/>
        <w:rPr>
          <w:sz w:val="20"/>
          <w:szCs w:val="20"/>
          <w:color w:val="auto"/>
        </w:rPr>
      </w:pPr>
      <w:r>
        <w:rPr>
          <w:rFonts w:ascii="Times New Roman" w:cs="Times New Roman" w:eastAsia="Times New Roman" w:hAnsi="Times New Roman"/>
          <w:sz w:val="18"/>
          <w:szCs w:val="18"/>
          <w:color w:val="auto"/>
        </w:rPr>
        <w:t>i. Any Award granted hereunder shall be exercisable according to the terms of the Plan and at such times and under such conditions as determined by the Administrator and set forth in the respective Award Agreement.</w:t>
      </w:r>
    </w:p>
    <w:p>
      <w:pPr>
        <w:spacing w:after="0" w:line="121" w:lineRule="exact"/>
        <w:rPr>
          <w:sz w:val="20"/>
          <w:szCs w:val="20"/>
          <w:color w:val="auto"/>
        </w:rPr>
      </w:pPr>
    </w:p>
    <w:p>
      <w:pPr>
        <w:ind w:left="360" w:right="339" w:hanging="9"/>
        <w:spacing w:after="0" w:line="261" w:lineRule="auto"/>
        <w:tabs>
          <w:tab w:leader="none" w:pos="55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shall be deemed exercised when the Company receives (A) written or electronic notice of exercise (in accordance with the Award Agreement) from the person entitled to exercise the Award; (B) full payment for the Shares with respect to which the related Award is exercised; and (C) payment of all applicable withholding taxes (if any).</w:t>
      </w:r>
    </w:p>
    <w:p>
      <w:pPr>
        <w:spacing w:after="0" w:line="139" w:lineRule="exact"/>
        <w:rPr>
          <w:rFonts w:ascii="Times New Roman" w:cs="Times New Roman" w:eastAsia="Times New Roman" w:hAnsi="Times New Roman"/>
          <w:sz w:val="18"/>
          <w:szCs w:val="18"/>
          <w:color w:val="auto"/>
        </w:rPr>
      </w:pPr>
    </w:p>
    <w:p>
      <w:pPr>
        <w:ind w:left="600" w:hanging="249"/>
        <w:spacing w:after="0"/>
        <w:tabs>
          <w:tab w:leader="none" w:pos="60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may not be exercised for a fraction of a Share.</w:t>
      </w:r>
    </w:p>
    <w:p>
      <w:pPr>
        <w:spacing w:after="0" w:line="182" w:lineRule="exact"/>
        <w:rPr>
          <w:rFonts w:ascii="Times New Roman" w:cs="Times New Roman" w:eastAsia="Times New Roman" w:hAnsi="Times New Roman"/>
          <w:sz w:val="18"/>
          <w:szCs w:val="18"/>
          <w:color w:val="auto"/>
        </w:rPr>
      </w:pPr>
    </w:p>
    <w:p>
      <w:pPr>
        <w:ind w:left="320" w:right="399" w:hanging="8"/>
        <w:spacing w:after="0" w:line="256" w:lineRule="auto"/>
        <w:tabs>
          <w:tab w:leader="none" w:pos="57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as a Stockholder. </w:t>
      </w:r>
      <w:r>
        <w:rPr>
          <w:rFonts w:ascii="Times New Roman" w:cs="Times New Roman" w:eastAsia="Times New Roman" w:hAnsi="Times New Roman"/>
          <w:sz w:val="18"/>
          <w:szCs w:val="18"/>
          <w:color w:val="auto"/>
        </w:rPr>
        <w:t>The Company shall issue (or cause to be issued) such Shares as administratively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practicable after the Award is exercised. Shares issued upon exercise of an Award shall be issued in the name of the Participant or, if requested by the Participant, in the name of the Participant and his or her spouse. Unless provided otherwise by the Administrator or pursuant to this Plan, until the Shares are issued (as evidenced by the appropriate entry on the books of the Company or of a duly authorized transfer agent of the Company), no right to vote or receive dividends or any other rights as a stockholder shall exist with respect to the Shares subject to an Award, notwithstanding the exercise of the Award.</w:t>
      </w:r>
    </w:p>
    <w:p>
      <w:pPr>
        <w:spacing w:after="0" w:line="140" w:lineRule="exact"/>
        <w:rPr>
          <w:rFonts w:ascii="Times New Roman" w:cs="Times New Roman" w:eastAsia="Times New Roman" w:hAnsi="Times New Roman"/>
          <w:sz w:val="18"/>
          <w:szCs w:val="18"/>
          <w:color w:val="auto"/>
        </w:rPr>
      </w:pPr>
    </w:p>
    <w:p>
      <w:pPr>
        <w:ind w:left="560" w:hanging="268"/>
        <w:spacing w:after="0"/>
        <w:tabs>
          <w:tab w:leader="none" w:pos="5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Awards.</w:t>
      </w:r>
    </w:p>
    <w:p>
      <w:pPr>
        <w:spacing w:after="0" w:line="200" w:lineRule="exact"/>
        <w:rPr>
          <w:rFonts w:ascii="Times New Roman" w:cs="Times New Roman" w:eastAsia="Times New Roman" w:hAnsi="Times New Roman"/>
          <w:sz w:val="18"/>
          <w:szCs w:val="18"/>
          <w:b w:val="1"/>
          <w:bCs w:val="1"/>
          <w:color w:val="auto"/>
        </w:rPr>
      </w:pPr>
    </w:p>
    <w:p>
      <w:pPr>
        <w:ind w:left="320" w:right="379" w:hanging="8"/>
        <w:spacing w:after="0" w:line="255" w:lineRule="auto"/>
        <w:tabs>
          <w:tab w:leader="none" w:pos="56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Award Agreement. </w:t>
      </w:r>
      <w:r>
        <w:rPr>
          <w:rFonts w:ascii="Times New Roman" w:cs="Times New Roman" w:eastAsia="Times New Roman" w:hAnsi="Times New Roman"/>
          <w:sz w:val="18"/>
          <w:szCs w:val="18"/>
          <w:color w:val="auto"/>
        </w:rPr>
        <w:t>Each Stock Award Agreement shall contain provisions regarding (i)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subject to such Stock Award or a formula for determining such number, (ii) the purchase price of the Shares, if any, and the means of payment for the Shares, (iii) the performance criteria (including Performance Criteria), if any, and level of achievement versus these criteria that shall determine the number of Shares granted, issued, retainable and/or vested, (iv) such terms and conditions on the grant, issuance, vesting, settlement and/or forfeiture of the Shares as may be determined from time to time by the Administrator, (v) restrictions on the transferability of the Stock Award and (vi) such further terms and conditions in each case not inconsistent with this Plan as may be determined from time to time by the Administrator.</w:t>
      </w:r>
    </w:p>
    <w:p>
      <w:pPr>
        <w:spacing w:after="0" w:line="144" w:lineRule="exact"/>
        <w:rPr>
          <w:rFonts w:ascii="Times New Roman" w:cs="Times New Roman" w:eastAsia="Times New Roman" w:hAnsi="Times New Roman"/>
          <w:sz w:val="18"/>
          <w:szCs w:val="18"/>
          <w:color w:val="auto"/>
        </w:rPr>
      </w:pPr>
    </w:p>
    <w:p>
      <w:pPr>
        <w:ind w:left="320" w:right="439" w:hanging="8"/>
        <w:spacing w:after="0" w:line="255" w:lineRule="auto"/>
        <w:tabs>
          <w:tab w:leader="none" w:pos="57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Restrictions and Performance Criteria. </w:t>
      </w:r>
      <w:r>
        <w:rPr>
          <w:rFonts w:ascii="Times New Roman" w:cs="Times New Roman" w:eastAsia="Times New Roman" w:hAnsi="Times New Roman"/>
          <w:sz w:val="18"/>
          <w:szCs w:val="18"/>
          <w:color w:val="auto"/>
        </w:rPr>
        <w:t>The grant, issuance, retention, settlement and/or vesting of each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or the Shares subject thereto may be subject to such performance criteria (including Performance Criteria) and level of achievement versus these criteria as the Administrator shall determine, which criteria may be based on financial performance, personal performance evaluations and/or completion of service by the Awardee. The Committee shall establish the Performance Criteria applicable to, and the formula for calculating the amount payable under, the Award no later than the earlier of (a) the date ninety (90) days after the commencement of the applicable performance period, or (b) the date on which 25% of the performance period has elapsed, and in any event at a time when the achievement of the applicable Performance Criteria remains substantially uncertain.</w:t>
      </w:r>
    </w:p>
    <w:p>
      <w:pPr>
        <w:spacing w:after="0" w:line="144" w:lineRule="exact"/>
        <w:rPr>
          <w:rFonts w:ascii="Times New Roman" w:cs="Times New Roman" w:eastAsia="Times New Roman" w:hAnsi="Times New Roman"/>
          <w:sz w:val="18"/>
          <w:szCs w:val="18"/>
          <w:color w:val="auto"/>
        </w:rPr>
      </w:pPr>
    </w:p>
    <w:p>
      <w:pPr>
        <w:ind w:left="320" w:right="419" w:hanging="8"/>
        <w:spacing w:after="0" w:line="261" w:lineRule="auto"/>
        <w:tabs>
          <w:tab w:leader="none" w:pos="56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 </w:t>
      </w:r>
      <w:r>
        <w:rPr>
          <w:rFonts w:ascii="Times New Roman" w:cs="Times New Roman" w:eastAsia="Times New Roman" w:hAnsi="Times New Roman"/>
          <w:sz w:val="18"/>
          <w:szCs w:val="18"/>
          <w:color w:val="auto"/>
        </w:rPr>
        <w:t>Unless otherwise provided for by the Administrator, upon the Awardee’s Termination of Continuous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the Stock Award and the Shares subject thereto shall be forfeited, provided that to the extent that the Participant purchased or earned any Shares, the Company shall have a right to repurchase the unvested Shares at such price and on such terms and conditions as the Administrator determines.</w:t>
      </w:r>
    </w:p>
    <w:p>
      <w:pPr>
        <w:spacing w:after="0" w:line="139" w:lineRule="exact"/>
        <w:rPr>
          <w:rFonts w:ascii="Times New Roman" w:cs="Times New Roman" w:eastAsia="Times New Roman" w:hAnsi="Times New Roman"/>
          <w:sz w:val="18"/>
          <w:szCs w:val="18"/>
          <w:color w:val="auto"/>
        </w:rPr>
      </w:pPr>
    </w:p>
    <w:p>
      <w:pPr>
        <w:ind w:left="320" w:right="379" w:hanging="8"/>
        <w:spacing w:after="0" w:line="277" w:lineRule="auto"/>
        <w:tabs>
          <w:tab w:leader="none" w:pos="575"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Rights as a Stockholder. </w:t>
      </w:r>
      <w:r>
        <w:rPr>
          <w:rFonts w:ascii="Times New Roman" w:cs="Times New Roman" w:eastAsia="Times New Roman" w:hAnsi="Times New Roman"/>
          <w:sz w:val="17"/>
          <w:szCs w:val="17"/>
          <w:color w:val="auto"/>
        </w:rPr>
        <w:t>Unless otherwise provided by the Administrator in the Award Agreement,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 shall have the rights equivalent to those of a stockholder and shall be a stockholder only after Shares are issued (as evidenced by the appropriate entry on the books of the Company or of a duly authorized transfer agent of the Company) to the Participant. Unless otherwise provided by the Administrator, a Participant holding Stock Units shall not be entitled to receive dividend payments or any credit therefor as if he or she was an actual stockholder.</w:t>
      </w:r>
    </w:p>
    <w:p>
      <w:pPr>
        <w:spacing w:after="0" w:line="129" w:lineRule="exact"/>
        <w:rPr>
          <w:rFonts w:ascii="Times New Roman" w:cs="Times New Roman" w:eastAsia="Times New Roman" w:hAnsi="Times New Roman"/>
          <w:sz w:val="17"/>
          <w:szCs w:val="17"/>
          <w:color w:val="auto"/>
        </w:rPr>
      </w:pPr>
    </w:p>
    <w:p>
      <w:pPr>
        <w:ind w:left="560" w:hanging="248"/>
        <w:spacing w:after="0"/>
        <w:tabs>
          <w:tab w:leader="none" w:pos="5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182" w:lineRule="exact"/>
        <w:rPr>
          <w:rFonts w:ascii="Times New Roman" w:cs="Times New Roman" w:eastAsia="Times New Roman" w:hAnsi="Times New Roman"/>
          <w:sz w:val="18"/>
          <w:szCs w:val="18"/>
          <w:color w:val="auto"/>
        </w:rPr>
      </w:pPr>
    </w:p>
    <w:p>
      <w:pPr>
        <w:jc w:val="both"/>
        <w:ind w:left="360" w:right="479" w:hanging="9"/>
        <w:spacing w:after="0" w:line="290" w:lineRule="auto"/>
        <w:tabs>
          <w:tab w:leader="none" w:pos="500" w:val="left"/>
        </w:tabs>
        <w:numPr>
          <w:ilvl w:val="2"/>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Stock Appreciation Rights may be granted either alone, in addition to, or in tandem with other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granted under the Plan. The Administrator may grant Stock Appreciation Rights to eligible Participants subject to terms and conditions not inconsistent with this Plan and determined by the Administrator. The specific terms and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69" w:name="page70"/>
    <w:bookmarkEnd w:id="69"/>
    <w:p>
      <w:pPr>
        <w:ind w:left="360" w:right="419"/>
        <w:spacing w:after="0" w:line="266" w:lineRule="auto"/>
        <w:rPr>
          <w:sz w:val="20"/>
          <w:szCs w:val="20"/>
          <w:color w:val="auto"/>
        </w:rPr>
      </w:pPr>
      <w:r>
        <w:rPr>
          <w:rFonts w:ascii="Times New Roman" w:cs="Times New Roman" w:eastAsia="Times New Roman" w:hAnsi="Times New Roman"/>
          <w:sz w:val="18"/>
          <w:szCs w:val="18"/>
          <w:color w:val="auto"/>
        </w:rPr>
        <w:t>conditions applicable to the Participant shall be provided for in the Stock Award Agreement. Stock Appreciation Rights shall be exercisable, in whole or in part, at such times as the Administrator shall specify in the Stock Award Agreement.</w:t>
      </w:r>
    </w:p>
    <w:p>
      <w:pPr>
        <w:spacing w:after="0" w:line="133" w:lineRule="exact"/>
        <w:rPr>
          <w:sz w:val="20"/>
          <w:szCs w:val="20"/>
          <w:color w:val="auto"/>
        </w:rPr>
      </w:pPr>
    </w:p>
    <w:p>
      <w:pPr>
        <w:ind w:left="360" w:right="299" w:hanging="9"/>
        <w:spacing w:after="0" w:line="253" w:lineRule="auto"/>
        <w:tabs>
          <w:tab w:leader="none" w:pos="55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of Stock Appreciation Right. </w:t>
      </w:r>
      <w:r>
        <w:rPr>
          <w:rFonts w:ascii="Times New Roman" w:cs="Times New Roman" w:eastAsia="Times New Roman" w:hAnsi="Times New Roman"/>
          <w:sz w:val="18"/>
          <w:szCs w:val="18"/>
          <w:color w:val="auto"/>
        </w:rPr>
        <w:t>Upon the exercise of a Stock Appreciation Right, in whole or in part,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shall be entitled to a payment in an amount equal to the excess of the Fair Market Value on the date of exercise of a fixed number of Shares covered by the exercised portion of the Stock Appreciation Right, over the Fair Market Value on the Grant Date of the Shares covered by the exercised portion of the Stock Appreciation Right (or such other amount calculated with respect to Shares subject to the Award as the Administrator may determine). The amount due to the Participant upon the exercise of a Stock Appreciation Right shall be paid in such form of consideration as determined by the Administrator and may be in cash, Shares or a combination thereof, over the period or periods specified in the Stock Award Agreement. A Stock Award Agreement may place limits on the amount that may be paid over any specified period or periods upon the exercise of a Stock Appreciation Right, on an aggregate basis or as to any Participant. A Stock Appreciation Right shall be considered exercised when the Company receives written notice of exercise in accordance with the terms of the Stock Award Agreement from the person entitled to exercise the Stock Appreciation Right.</w:t>
      </w:r>
    </w:p>
    <w:p>
      <w:pPr>
        <w:spacing w:after="0" w:line="162" w:lineRule="exact"/>
        <w:rPr>
          <w:rFonts w:ascii="Times New Roman" w:cs="Times New Roman" w:eastAsia="Times New Roman" w:hAnsi="Times New Roman"/>
          <w:sz w:val="18"/>
          <w:szCs w:val="18"/>
          <w:color w:val="auto"/>
        </w:rPr>
      </w:pPr>
    </w:p>
    <w:p>
      <w:pPr>
        <w:ind w:left="360" w:right="419" w:hanging="9"/>
        <w:spacing w:after="0" w:line="267" w:lineRule="auto"/>
        <w:tabs>
          <w:tab w:leader="none" w:pos="6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Nonassignability of Stock Appreciation Rights. </w:t>
      </w:r>
      <w:r>
        <w:rPr>
          <w:rFonts w:ascii="Times New Roman" w:cs="Times New Roman" w:eastAsia="Times New Roman" w:hAnsi="Times New Roman"/>
          <w:sz w:val="18"/>
          <w:szCs w:val="18"/>
          <w:color w:val="auto"/>
        </w:rPr>
        <w:t>Except as determined by the Administrator, no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 shall be assignable or otherwise transferable by the Participant except by will or by the laws of descent and distribution.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Other Provisions Applicable to Awards.</w:t>
      </w:r>
    </w:p>
    <w:p>
      <w:pPr>
        <w:spacing w:after="0" w:line="187" w:lineRule="exact"/>
        <w:rPr>
          <w:sz w:val="20"/>
          <w:szCs w:val="20"/>
          <w:color w:val="auto"/>
        </w:rPr>
      </w:pPr>
    </w:p>
    <w:p>
      <w:pPr>
        <w:ind w:left="320" w:right="439" w:hanging="8"/>
        <w:spacing w:after="0" w:line="256" w:lineRule="auto"/>
        <w:tabs>
          <w:tab w:leader="none" w:pos="5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Non-Transferability of Awards. </w:t>
      </w:r>
      <w:r>
        <w:rPr>
          <w:rFonts w:ascii="Times New Roman" w:cs="Times New Roman" w:eastAsia="Times New Roman" w:hAnsi="Times New Roman"/>
          <w:sz w:val="18"/>
          <w:szCs w:val="18"/>
          <w:color w:val="auto"/>
        </w:rPr>
        <w:t>Unless determined otherwise by the Administrator, an Award may not be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pledged, assigned, hypothecated, transferred, or disposed of in any manner for value other than by beneficiary designation, will or by the laws of descent or distribution. Subject to Section 10(c), the Administrator may in its discretion make an Award transferable to an Awardee’s family member or any other person or entity as it deems appropriate. If the Administrator makes an Award transferable, either at the time of grant or thereafter, such Award shall contain such additional terms and conditions as the Administrator deems appropriate, and any transferee shall be deemed to be bound by such terms upon acceptance of such transfer.</w:t>
      </w:r>
    </w:p>
    <w:p>
      <w:pPr>
        <w:spacing w:after="0" w:line="140" w:lineRule="exact"/>
        <w:rPr>
          <w:rFonts w:ascii="Times New Roman" w:cs="Times New Roman" w:eastAsia="Times New Roman" w:hAnsi="Times New Roman"/>
          <w:sz w:val="18"/>
          <w:szCs w:val="18"/>
          <w:color w:val="auto"/>
        </w:rPr>
      </w:pPr>
    </w:p>
    <w:p>
      <w:pPr>
        <w:ind w:left="320" w:right="319" w:hanging="8"/>
        <w:spacing w:after="0" w:line="252" w:lineRule="auto"/>
        <w:tabs>
          <w:tab w:leader="none" w:pos="5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Criteria. </w:t>
      </w:r>
      <w:r>
        <w:rPr>
          <w:rFonts w:ascii="Times New Roman" w:cs="Times New Roman" w:eastAsia="Times New Roman" w:hAnsi="Times New Roman"/>
          <w:sz w:val="18"/>
          <w:szCs w:val="18"/>
          <w:color w:val="auto"/>
        </w:rPr>
        <w:t>For purposes of this Plan, the term “</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shall mean any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following performance criteria, either individually, alternatively or in any combination, applied to either the Company as a whole or to a business unit, Affiliate or business segment, either individually, alternatively or in any combination, and measured either annually or cumulatively over a period of years, on an absolute basis or relative to a pre-established target, to previous years’ results or to a designated comparison group, in each case as specified by the Administrator in the Award: (i) cash flow; (ii) earnings (including gross margin; earnings before interest and taxes; earnings before interest, taxes, depreciation and amortization; earnings before taxes; and net earnings); (iii) earnings per share; (iv) growth in earnings or earnings per share; (v) stock price; (vi) return on equity or average stockholders’ equity; (vii) total stockholder return; (viii) return on capital; (ix) return on assets or net assets; (x) return on investment; (xi) revenue or growth in revenue; (xii) income or net income; (xiii) operating income or net operating income, in aggregate or per share; (xiv) operating profit or net operating profit; (xv) operating margin; (xvi) return on operating revenue; (xvii) market share; (xviii) contract awards or backlog; (xix) overhead or other expense reduction; (xx) growth in stockholder value relative to the moving average of the S&amp;P 500 Index or a peer group index; (xxi) credit rating; (xxii) strategic plan development and implementation (including individual performance objectives that relate to achievement of the Company’s or any business unit’s strategic plan); (xxiii) improvement in workforce diversity; (xxiv) growth of revenue, operating income or net income; (xxv) efficiency ratio; (xxvi) ratio of nonperforming assets to total assets; and (xxvii) any other similar criteria. The Committee may adjust any evaluation of performance under a Performance Criteria to exclude any of the following events that occurs during a performance period: (A) asset write-downs; (B) litigation or claim judgments or settlements; (C) the effect of changes in tax law, accounting principles or other such laws or provisions affecting reported results; (D) accruals for reorganization and restructuring programs; (E) any gains or losses classified as extraordinary or as discontinued operations in the Company’s financial statements; and (F) mergers, acquisitions or divestitures.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0" w:name="page71"/>
    <w:bookmarkEnd w:id="70"/>
    <w:p>
      <w:pPr>
        <w:ind w:left="320" w:right="339" w:hanging="8"/>
        <w:spacing w:after="0" w:line="261" w:lineRule="auto"/>
        <w:tabs>
          <w:tab w:leader="none" w:pos="56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Certification. </w:t>
      </w:r>
      <w:r>
        <w:rPr>
          <w:rFonts w:ascii="Times New Roman" w:cs="Times New Roman" w:eastAsia="Times New Roman" w:hAnsi="Times New Roman"/>
          <w:sz w:val="18"/>
          <w:szCs w:val="18"/>
          <w:color w:val="auto"/>
        </w:rPr>
        <w:t>Prior to the payment of any compensation under an Award subject to any Performance Criteria,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shall certify the extent to which any Performance Criteria and any other material terms under such Award have been satisfied (other than in cases where such relate solely to the increase in the value of the Common Stock).</w:t>
      </w:r>
    </w:p>
    <w:p>
      <w:pPr>
        <w:spacing w:after="0" w:line="139" w:lineRule="exact"/>
        <w:rPr>
          <w:rFonts w:ascii="Times New Roman" w:cs="Times New Roman" w:eastAsia="Times New Roman" w:hAnsi="Times New Roman"/>
          <w:sz w:val="18"/>
          <w:szCs w:val="18"/>
          <w:color w:val="auto"/>
        </w:rPr>
      </w:pPr>
    </w:p>
    <w:p>
      <w:pPr>
        <w:ind w:left="320" w:right="339" w:hanging="8"/>
        <w:spacing w:after="0" w:line="258" w:lineRule="auto"/>
        <w:tabs>
          <w:tab w:leader="none" w:pos="57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Withholding Obligation. </w:t>
      </w:r>
      <w:r>
        <w:rPr>
          <w:rFonts w:ascii="Times New Roman" w:cs="Times New Roman" w:eastAsia="Times New Roman" w:hAnsi="Times New Roman"/>
          <w:sz w:val="18"/>
          <w:szCs w:val="18"/>
          <w:color w:val="auto"/>
        </w:rPr>
        <w:t>As a condition of the grant, issuance, vesting, exercise or settlement of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the Plan, the Participant shall make such arrangements as the Administrator may require for the satisfaction of any applicable federal, state, local or foreign withholding tax obligations that may arise in connection with such grant, issuance, vesting, exercise or settlement of the Award. The Company shall not be required to issue any Shares under the Plan until such obligations are satisfied.</w:t>
      </w:r>
    </w:p>
    <w:p>
      <w:pPr>
        <w:spacing w:after="0" w:line="183" w:lineRule="exact"/>
        <w:rPr>
          <w:rFonts w:ascii="Times New Roman" w:cs="Times New Roman" w:eastAsia="Times New Roman" w:hAnsi="Times New Roman"/>
          <w:sz w:val="18"/>
          <w:szCs w:val="18"/>
          <w:color w:val="auto"/>
        </w:rPr>
      </w:pPr>
    </w:p>
    <w:p>
      <w:pPr>
        <w:ind w:left="320" w:right="339" w:hanging="8"/>
        <w:spacing w:after="0" w:line="253" w:lineRule="auto"/>
        <w:tabs>
          <w:tab w:leader="none" w:pos="56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Section 409A. </w:t>
      </w:r>
      <w:r>
        <w:rPr>
          <w:rFonts w:ascii="Times New Roman" w:cs="Times New Roman" w:eastAsia="Times New Roman" w:hAnsi="Times New Roman"/>
          <w:sz w:val="18"/>
          <w:szCs w:val="18"/>
          <w:color w:val="auto"/>
        </w:rPr>
        <w:t>Notwithstanding anything to the contrary contained herein, to the extent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that any Award granted under the Plan is subject to Code Section 409A and unless otherwise specified in the applicable Award Agreement, the Award Agreement evidencing such Award shall incorporate the terms and conditions necessary for such Award to avoid the consequences described in Code Section 409A(a)(1), and to the maximum extent permitted under Applicable Law (and unless otherwise stated in the applicable Award Agreement), the Plan and the Award Agreements shall be interpreted in a manner that results in their conforming to the requirements of Code Section 409A(a)(2), (3) and (4) and any Department of Treasury or Internal Revenue Service regulations or other interpretive guidance issued under Section 409A (whenever issued, the “</w:t>
      </w:r>
      <w:r>
        <w:rPr>
          <w:rFonts w:ascii="Times New Roman" w:cs="Times New Roman" w:eastAsia="Times New Roman" w:hAnsi="Times New Roman"/>
          <w:sz w:val="18"/>
          <w:szCs w:val="18"/>
          <w:b w:val="1"/>
          <w:bCs w:val="1"/>
          <w:color w:val="auto"/>
        </w:rPr>
        <w:t>Guidance</w:t>
      </w:r>
      <w:r>
        <w:rPr>
          <w:rFonts w:ascii="Times New Roman" w:cs="Times New Roman" w:eastAsia="Times New Roman" w:hAnsi="Times New Roman"/>
          <w:sz w:val="18"/>
          <w:szCs w:val="18"/>
          <w:color w:val="auto"/>
        </w:rPr>
        <w:t>” ). Notwithstanding anything to the contrary in this Plan (and unless the Award Agreement provides otherwise, with specific reference to this sentence), to the extent that a Participant holding an Award that constitutes “deferred compensation” under Section 409A and the Guidance is a “specified employee” (also as defined thereunder), no distribution or payment of any amount shall be made before a date that is six (6) months following the date of such Participant’s “separation from service” (as defined in Section 409A and the Guidance) or, if earlier, the date of the Participant’s death.</w:t>
      </w:r>
    </w:p>
    <w:p>
      <w:pPr>
        <w:spacing w:after="0" w:line="158" w:lineRule="exact"/>
        <w:rPr>
          <w:rFonts w:ascii="Times New Roman" w:cs="Times New Roman" w:eastAsia="Times New Roman" w:hAnsi="Times New Roman"/>
          <w:sz w:val="18"/>
          <w:szCs w:val="18"/>
          <w:color w:val="auto"/>
        </w:rPr>
      </w:pPr>
    </w:p>
    <w:p>
      <w:pPr>
        <w:ind w:left="540" w:hanging="228"/>
        <w:spacing w:after="0"/>
        <w:tabs>
          <w:tab w:leader="none" w:pos="5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Deferral of Award Benefits. </w:t>
      </w:r>
      <w:r>
        <w:rPr>
          <w:rFonts w:ascii="Times New Roman" w:cs="Times New Roman" w:eastAsia="Times New Roman" w:hAnsi="Times New Roman"/>
          <w:sz w:val="18"/>
          <w:szCs w:val="18"/>
          <w:color w:val="auto"/>
        </w:rPr>
        <w:t>The Administrator may in its discretion and upon such terms and conditions as it</w:t>
      </w:r>
    </w:p>
    <w:p>
      <w:pPr>
        <w:spacing w:after="0" w:line="29" w:lineRule="exact"/>
        <w:rPr>
          <w:rFonts w:ascii="Times New Roman" w:cs="Times New Roman" w:eastAsia="Times New Roman" w:hAnsi="Times New Roman"/>
          <w:sz w:val="18"/>
          <w:szCs w:val="18"/>
          <w:color w:val="auto"/>
        </w:rPr>
      </w:pPr>
    </w:p>
    <w:p>
      <w:pPr>
        <w:ind w:left="320" w:right="35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determines appropriate permit one or more Participants whom it selects to (a) defer compensation payable pursuant to the terms of an Award, or (b) defer compensation arising outside the terms of this Plan pursuant to a program that provides for deferred payment in satisfaction of such other compensation amounts through the issuance of one or more Awards. Any such deferral arrangement shall be evidenced by an Award Agreement in such form as the Administrator shall from time to time establish, and no such deferral arrangement shall be a valid and binding obligation unless evidenced by a fully executed Award Agreement, the form of which the Administrator has approved, including through the Administrator’s establishing a written program (the “</w:t>
      </w:r>
      <w:r>
        <w:rPr>
          <w:rFonts w:ascii="Times New Roman" w:cs="Times New Roman" w:eastAsia="Times New Roman" w:hAnsi="Times New Roman"/>
          <w:sz w:val="17"/>
          <w:szCs w:val="17"/>
          <w:b w:val="1"/>
          <w:bCs w:val="1"/>
          <w:color w:val="auto"/>
        </w:rPr>
        <w:t>Program</w:t>
      </w:r>
      <w:r>
        <w:rPr>
          <w:rFonts w:ascii="Times New Roman" w:cs="Times New Roman" w:eastAsia="Times New Roman" w:hAnsi="Times New Roman"/>
          <w:sz w:val="17"/>
          <w:szCs w:val="17"/>
          <w:color w:val="auto"/>
        </w:rPr>
        <w:t>”) under this Plan to govern the form of Award Agreements participating in such Program. Any such Award Agreement or Program shall specify the treatment of dividends or dividend equivalent rights (if any) that apply to Awards governed thereby, and shall further provide that any elections governing payment of amounts pursuant to such Program shall be in writing, shall be delivered to the Company or its agent in a form and manner that complies with Code Section 409A and the Guidance, and shall specify the amount to be distributed in settlement of the deferral arrangement, as well as the time and form of such distribution in a manner that complies with Code Section 409A and the Guidance.</w:t>
      </w:r>
    </w:p>
    <w:p>
      <w:pPr>
        <w:spacing w:after="0" w:line="135" w:lineRule="exact"/>
        <w:rPr>
          <w:rFonts w:ascii="Times New Roman" w:cs="Times New Roman" w:eastAsia="Times New Roman" w:hAnsi="Times New Roman"/>
          <w:sz w:val="18"/>
          <w:szCs w:val="18"/>
          <w:color w:val="auto"/>
        </w:rPr>
      </w:pPr>
    </w:p>
    <w:p>
      <w:pPr>
        <w:ind w:left="320" w:right="299" w:hanging="8"/>
        <w:spacing w:after="0" w:line="255" w:lineRule="auto"/>
        <w:tabs>
          <w:tab w:leader="none" w:pos="57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Clawback. </w:t>
      </w:r>
      <w:r>
        <w:rPr>
          <w:rFonts w:ascii="Times New Roman" w:cs="Times New Roman" w:eastAsia="Times New Roman" w:hAnsi="Times New Roman"/>
          <w:sz w:val="18"/>
          <w:szCs w:val="18"/>
          <w:color w:val="auto"/>
        </w:rPr>
        <w:t>Notwithstanding any other provision herein to the contrary, any performance-based compensation,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amount, paid to a Participant pursuant to an Award, which is subject to recovery under any law, government regulation, stock exchange listing requirement, or any policy adopted by the Company will be subject to such deductions and clawback as may be required to be made pursuant to such law, government regulation, stock exchange listing requirement, or policy adopted by the Company. No recovery of compensation under such a clawback policy will be an event giving rise to a right to resign for “good reason” or be deemed a “constructive termination” (or any similar term) as such terms are used in any agreement between any Participant and the Company.</w:t>
      </w:r>
    </w:p>
    <w:p>
      <w:pPr>
        <w:spacing w:after="0" w:line="142" w:lineRule="exact"/>
        <w:rPr>
          <w:rFonts w:ascii="Times New Roman" w:cs="Times New Roman" w:eastAsia="Times New Roman" w:hAnsi="Times New Roman"/>
          <w:sz w:val="18"/>
          <w:szCs w:val="18"/>
          <w:color w:val="auto"/>
        </w:rPr>
      </w:pPr>
    </w:p>
    <w:p>
      <w:pPr>
        <w:ind w:left="560" w:hanging="268"/>
        <w:spacing w:after="0"/>
        <w:tabs>
          <w:tab w:leader="none" w:pos="5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Capitalization, Dissolution, or Change In Control</w:t>
      </w:r>
    </w:p>
    <w:p>
      <w:pPr>
        <w:spacing w:after="0" w:line="186" w:lineRule="exact"/>
        <w:rPr>
          <w:rFonts w:ascii="Times New Roman" w:cs="Times New Roman" w:eastAsia="Times New Roman" w:hAnsi="Times New Roman"/>
          <w:sz w:val="18"/>
          <w:szCs w:val="18"/>
          <w:b w:val="1"/>
          <w:bCs w:val="1"/>
          <w:color w:val="auto"/>
        </w:rPr>
      </w:pPr>
    </w:p>
    <w:p>
      <w:pPr>
        <w:ind w:left="320" w:right="379" w:hanging="8"/>
        <w:spacing w:after="0" w:line="277" w:lineRule="auto"/>
        <w:tabs>
          <w:tab w:leader="none" w:pos="565"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Changes in Capitalization. </w:t>
      </w:r>
      <w:r>
        <w:rPr>
          <w:rFonts w:ascii="Times New Roman" w:cs="Times New Roman" w:eastAsia="Times New Roman" w:hAnsi="Times New Roman"/>
          <w:sz w:val="17"/>
          <w:szCs w:val="17"/>
          <w:color w:val="auto"/>
        </w:rPr>
        <w:t>Subject to any required action by the stockholders of the Company, the number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Common Stock covered by each outstanding Award, the number of shares of Common Stock which have been authorized for issuance under the Plan, but as to which no Awards have yet been granted or which have been returned to the Plan upon cancellation, forfeiture or expiration of an Award, the price per Share subject to each such outstanding Award and each of the share limits set forth in Section 3(a) and 3(b), shall be proportionately adjusted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71" w:name="page72"/>
    <w:bookmarkEnd w:id="71"/>
    <w:p>
      <w:pPr>
        <w:ind w:left="320" w:right="459"/>
        <w:spacing w:after="0" w:line="270" w:lineRule="auto"/>
        <w:rPr>
          <w:sz w:val="20"/>
          <w:szCs w:val="20"/>
          <w:color w:val="auto"/>
        </w:rPr>
      </w:pPr>
      <w:r>
        <w:rPr>
          <w:rFonts w:ascii="Times New Roman" w:cs="Times New Roman" w:eastAsia="Times New Roman" w:hAnsi="Times New Roman"/>
          <w:sz w:val="17"/>
          <w:szCs w:val="17"/>
          <w:color w:val="auto"/>
        </w:rPr>
        <w:t>for any increase or decrease in the number of issued shares of Common Stock resulting from a stock split, reverse stock split, stock dividend, combination or reclassification of the Common Stock, payment of a dividend or distribution in a form other than stock (excepting normal cash dividends) that has a material effect on the Fair Market Value of the shares of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w:t>
      </w:r>
    </w:p>
    <w:p>
      <w:pPr>
        <w:spacing w:after="0" w:line="134" w:lineRule="exact"/>
        <w:rPr>
          <w:sz w:val="20"/>
          <w:szCs w:val="20"/>
          <w:color w:val="auto"/>
        </w:rPr>
      </w:pPr>
    </w:p>
    <w:p>
      <w:pPr>
        <w:ind w:left="320" w:right="559" w:hanging="8"/>
        <w:spacing w:after="0" w:line="258" w:lineRule="auto"/>
        <w:tabs>
          <w:tab w:leader="none" w:pos="57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Dissolution or Liquidation. </w:t>
      </w:r>
      <w:r>
        <w:rPr>
          <w:rFonts w:ascii="Times New Roman" w:cs="Times New Roman" w:eastAsia="Times New Roman" w:hAnsi="Times New Roman"/>
          <w:sz w:val="18"/>
          <w:szCs w:val="18"/>
          <w:color w:val="auto"/>
        </w:rPr>
        <w:t>In the event of the proposed dissolution or liquidation of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shall notify each Participant as soon as practicable prior to the effective date of such proposed transaction. To the extent it has not been previously exercised or the Shares subject thereto issued to the Awardee and unless otherwise determined by the Administrator, an Award will terminate immediately prior to the consummation of such proposed transaction.</w:t>
      </w:r>
    </w:p>
    <w:p>
      <w:pPr>
        <w:spacing w:after="0" w:line="156" w:lineRule="exact"/>
        <w:rPr>
          <w:rFonts w:ascii="Times New Roman" w:cs="Times New Roman" w:eastAsia="Times New Roman" w:hAnsi="Times New Roman"/>
          <w:sz w:val="18"/>
          <w:szCs w:val="18"/>
          <w:color w:val="auto"/>
        </w:rPr>
      </w:pPr>
    </w:p>
    <w:p>
      <w:pPr>
        <w:ind w:left="320" w:right="339" w:hanging="8"/>
        <w:spacing w:after="0" w:line="255" w:lineRule="auto"/>
        <w:tabs>
          <w:tab w:leader="none" w:pos="56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there is a Change in Control of the Company, as determined by the Board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unless otherwise provided in an employment agreement (or Award Agreement, if applicable), in the event that the successor corporation or a Parent or Subsidiary of the successor corporation does not assume or substitute for an Award, the applicable Participant shall fully vest in and have the right to exercise his or her Option as to all of the Shares, including Shares as to which it would not otherwise be vested or exercisable, and all restrictions on Restricted Stock and Restricted Stock Units will lapse and all performance goals or other vesting criteria with respect to an Award will be deemed achieved at target levels and all other terms and conditions deemed met.</w:t>
      </w:r>
    </w:p>
    <w:p>
      <w:pPr>
        <w:spacing w:after="0" w:line="142" w:lineRule="exact"/>
        <w:rPr>
          <w:rFonts w:ascii="Times New Roman" w:cs="Times New Roman" w:eastAsia="Times New Roman" w:hAnsi="Times New Roman"/>
          <w:sz w:val="18"/>
          <w:szCs w:val="18"/>
          <w:color w:val="auto"/>
        </w:rPr>
      </w:pPr>
    </w:p>
    <w:p>
      <w:pPr>
        <w:ind w:left="560" w:hanging="268"/>
        <w:spacing w:after="0"/>
        <w:tabs>
          <w:tab w:leader="none" w:pos="5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 of the Plan.</w:t>
      </w:r>
    </w:p>
    <w:p>
      <w:pPr>
        <w:spacing w:after="0" w:line="186" w:lineRule="exact"/>
        <w:rPr>
          <w:rFonts w:ascii="Times New Roman" w:cs="Times New Roman" w:eastAsia="Times New Roman" w:hAnsi="Times New Roman"/>
          <w:sz w:val="18"/>
          <w:szCs w:val="18"/>
          <w:b w:val="1"/>
          <w:bCs w:val="1"/>
          <w:color w:val="auto"/>
        </w:rPr>
      </w:pPr>
    </w:p>
    <w:p>
      <w:pPr>
        <w:ind w:left="320" w:right="359" w:hanging="8"/>
        <w:spacing w:after="0" w:line="261" w:lineRule="auto"/>
        <w:tabs>
          <w:tab w:leader="none" w:pos="56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Administrator may amend, alter or discontinue the Plan or any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but any such amendment shall be subject to approval of the stockholders of the Company in the manner and to the extent required by Applicable Laws. In addition, without limiting the foregoing, unless approved by the stockholders of the Company, no such amendment shall be made that would:</w:t>
      </w:r>
    </w:p>
    <w:p>
      <w:pPr>
        <w:spacing w:after="0" w:line="141" w:lineRule="exact"/>
        <w:rPr>
          <w:sz w:val="20"/>
          <w:szCs w:val="20"/>
          <w:color w:val="auto"/>
        </w:rPr>
      </w:pPr>
    </w:p>
    <w:p>
      <w:pPr>
        <w:ind w:left="360" w:right="439"/>
        <w:spacing w:after="0" w:line="282" w:lineRule="auto"/>
        <w:rPr>
          <w:sz w:val="20"/>
          <w:szCs w:val="20"/>
          <w:color w:val="auto"/>
        </w:rPr>
      </w:pPr>
      <w:r>
        <w:rPr>
          <w:rFonts w:ascii="Times New Roman" w:cs="Times New Roman" w:eastAsia="Times New Roman" w:hAnsi="Times New Roman"/>
          <w:sz w:val="18"/>
          <w:szCs w:val="18"/>
          <w:color w:val="auto"/>
        </w:rPr>
        <w:t>i. materially increase the maximum number of Shares for which Awards may be granted under the Plan, other than an increase pursuant to Section 3 or Section 14 of the Plan; or</w:t>
      </w:r>
    </w:p>
    <w:p>
      <w:pPr>
        <w:spacing w:after="0" w:line="121" w:lineRule="exact"/>
        <w:rPr>
          <w:sz w:val="20"/>
          <w:szCs w:val="20"/>
          <w:color w:val="auto"/>
        </w:rPr>
      </w:pPr>
    </w:p>
    <w:p>
      <w:pPr>
        <w:ind w:left="360" w:right="699" w:hanging="9"/>
        <w:spacing w:after="0" w:line="282" w:lineRule="auto"/>
        <w:tabs>
          <w:tab w:leader="none" w:pos="55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minimum exercise prices at which Options may be granted under the Plan (as set forth in Section 8(b)); or</w:t>
      </w:r>
    </w:p>
    <w:p>
      <w:pPr>
        <w:spacing w:after="0" w:line="134" w:lineRule="exact"/>
        <w:rPr>
          <w:rFonts w:ascii="Times New Roman" w:cs="Times New Roman" w:eastAsia="Times New Roman" w:hAnsi="Times New Roman"/>
          <w:sz w:val="18"/>
          <w:szCs w:val="18"/>
          <w:color w:val="auto"/>
        </w:rPr>
      </w:pPr>
    </w:p>
    <w:p>
      <w:pPr>
        <w:ind w:left="600" w:hanging="249"/>
        <w:spacing w:after="0"/>
        <w:tabs>
          <w:tab w:leader="none" w:pos="6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Repricing (as defined in Section 8(e)) of Options or Stock Appreciation Rights; or</w:t>
      </w:r>
    </w:p>
    <w:p>
      <w:pPr>
        <w:spacing w:after="0" w:line="184" w:lineRule="exact"/>
        <w:rPr>
          <w:rFonts w:ascii="Times New Roman" w:cs="Times New Roman" w:eastAsia="Times New Roman" w:hAnsi="Times New Roman"/>
          <w:sz w:val="18"/>
          <w:szCs w:val="18"/>
          <w:color w:val="auto"/>
        </w:rPr>
      </w:pPr>
    </w:p>
    <w:p>
      <w:pPr>
        <w:ind w:left="560" w:hanging="209"/>
        <w:spacing w:after="0"/>
        <w:tabs>
          <w:tab w:leader="none" w:pos="5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class of persons eligible to receive Awards under the Plan.</w:t>
      </w:r>
    </w:p>
    <w:p>
      <w:pPr>
        <w:spacing w:after="0" w:line="223" w:lineRule="exact"/>
        <w:rPr>
          <w:rFonts w:ascii="Times New Roman" w:cs="Times New Roman" w:eastAsia="Times New Roman" w:hAnsi="Times New Roman"/>
          <w:sz w:val="18"/>
          <w:szCs w:val="18"/>
          <w:color w:val="auto"/>
        </w:rPr>
      </w:pPr>
    </w:p>
    <w:p>
      <w:pPr>
        <w:ind w:left="320" w:right="479" w:hanging="8"/>
        <w:spacing w:after="0" w:line="256" w:lineRule="auto"/>
        <w:tabs>
          <w:tab w:leader="none" w:pos="57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Amendment or Termination. </w:t>
      </w:r>
      <w:r>
        <w:rPr>
          <w:rFonts w:ascii="Times New Roman" w:cs="Times New Roman" w:eastAsia="Times New Roman" w:hAnsi="Times New Roman"/>
          <w:sz w:val="18"/>
          <w:szCs w:val="18"/>
          <w:color w:val="auto"/>
        </w:rPr>
        <w:t>No amendment, suspension or termination of the Plan shall impair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any Award, unless mutually agreed otherwise between the Participant and the Administrator, which agreement must be in writing and signed by the Participant and the Company; provided further that the Administrator may amend an outstanding Award in order to conform it to the Administrator’s intent (in its sole discretion) that such Award not be subject to Code Section 409A(a)(1)(B). Termination of the Plan shall not affect the Administrator’s ability to exercise the powers granted to it hereunder with respect to Awards granted under the Plan prior to the date of such termination.</w:t>
      </w:r>
    </w:p>
    <w:p>
      <w:pPr>
        <w:spacing w:after="0" w:line="142" w:lineRule="exact"/>
        <w:rPr>
          <w:rFonts w:ascii="Times New Roman" w:cs="Times New Roman" w:eastAsia="Times New Roman" w:hAnsi="Times New Roman"/>
          <w:sz w:val="18"/>
          <w:szCs w:val="18"/>
          <w:color w:val="auto"/>
        </w:rPr>
      </w:pPr>
    </w:p>
    <w:p>
      <w:pPr>
        <w:ind w:left="320" w:right="379" w:hanging="8"/>
        <w:spacing w:after="0" w:line="257" w:lineRule="auto"/>
        <w:tabs>
          <w:tab w:leader="none" w:pos="5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the Plan on Other Arrangements. </w:t>
      </w:r>
      <w:r>
        <w:rPr>
          <w:rFonts w:ascii="Times New Roman" w:cs="Times New Roman" w:eastAsia="Times New Roman" w:hAnsi="Times New Roman"/>
          <w:sz w:val="18"/>
          <w:szCs w:val="18"/>
          <w:color w:val="auto"/>
        </w:rPr>
        <w:t>Neither the adoption of the Plan by the Board or a Committee nor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submission of the Plan to the stockholders of the Company for approval shall be construed as creating any limitations on the power of the Board or any Committee to adopt such other incentive arrangements as it or they may deem desirable, including without limitation, the granting of restricted stock, stock options or cash bonuses otherwise than under the Plan, and such arrangements may be either generally applicable or applicable only in specific cases. The value of Awards granted pursuant to the Plan will not be included as compensation, earnings,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2" w:name="page73"/>
    <w:bookmarkEnd w:id="72"/>
    <w:p>
      <w:pPr>
        <w:ind w:left="320" w:right="899"/>
        <w:spacing w:after="0" w:line="282" w:lineRule="auto"/>
        <w:rPr>
          <w:sz w:val="20"/>
          <w:szCs w:val="20"/>
          <w:color w:val="auto"/>
        </w:rPr>
      </w:pPr>
      <w:r>
        <w:rPr>
          <w:rFonts w:ascii="Times New Roman" w:cs="Times New Roman" w:eastAsia="Times New Roman" w:hAnsi="Times New Roman"/>
          <w:sz w:val="18"/>
          <w:szCs w:val="18"/>
          <w:color w:val="auto"/>
        </w:rPr>
        <w:t>salaries or other similar terms used when calculating an Awardee’s benefits under any employee benefit plan sponsored by the Company or any Subsidiary except as such plan otherwise expressly provides.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16. Designation of Beneficiary.</w:t>
      </w:r>
    </w:p>
    <w:p>
      <w:pPr>
        <w:spacing w:after="0" w:line="202" w:lineRule="exact"/>
        <w:rPr>
          <w:sz w:val="20"/>
          <w:szCs w:val="20"/>
          <w:color w:val="auto"/>
        </w:rPr>
      </w:pPr>
    </w:p>
    <w:p>
      <w:pPr>
        <w:ind w:left="320" w:right="339" w:hanging="8"/>
        <w:spacing w:after="0" w:line="258" w:lineRule="auto"/>
        <w:tabs>
          <w:tab w:leader="none" w:pos="5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Awardee may file a written designation of a beneficiary who is to receive the Awardee’s rights pursuant to Awardee’s Award or the Awardee may include his or her Awards in an omnibus beneficiary designation for all benefits under the Plan. To the extent that Awardee has completed a designation of beneficiary while employed with the Company, such beneficiary designation shall remain in effect with respect to any Award hereunder until changed by the Awardee to the extent enforceable under Applicable Law.</w:t>
      </w:r>
    </w:p>
    <w:p>
      <w:pPr>
        <w:spacing w:after="0" w:line="142" w:lineRule="exact"/>
        <w:rPr>
          <w:rFonts w:ascii="Times New Roman" w:cs="Times New Roman" w:eastAsia="Times New Roman" w:hAnsi="Times New Roman"/>
          <w:sz w:val="18"/>
          <w:szCs w:val="18"/>
          <w:color w:val="auto"/>
        </w:rPr>
      </w:pPr>
    </w:p>
    <w:p>
      <w:pPr>
        <w:ind w:left="320" w:right="339" w:hanging="8"/>
        <w:spacing w:after="0" w:line="255" w:lineRule="auto"/>
        <w:tabs>
          <w:tab w:leader="none" w:pos="5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designation of beneficiary may be changed by the Awardee at any time by written notice. In the event of the death of an Awardee and in the absence of a beneficiary validly designated under the Plan who is living at the time of such Awardee’s death, the Company shall allow the executor or administrator of the estate of the Awardee to exercise the Award, or if no such executor or administrator has been appointed (to the knowledge of the Company), the Company, in its discretion, may allow the spouse or one or more dependents or relatives of the Awardee to exercise the Award to the extent permissible under Applicable Law or if no spouse, dependent or relative is known to the Company, then to such other person as the Company may designate.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No Right to Awards or to Employment.</w:t>
      </w:r>
    </w:p>
    <w:p>
      <w:pPr>
        <w:spacing w:after="0" w:line="18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No person shall have any claim or right to be granted an Award and the grant of any Award shall not be construed as giving an Awardee the right to continue in the employ or service of the Company or its Affiliates. Further, the Company and its Affiliates expressly reserve the right, at any time, to dismiss any Employee, Consultant or Awardee at any time without liability or any claim under the Plan, except as provided herein or in any Award Agreement entered into hereunder.</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18. Legal Compliance.</w:t>
      </w:r>
    </w:p>
    <w:p>
      <w:pPr>
        <w:spacing w:after="0" w:line="189" w:lineRule="exact"/>
        <w:rPr>
          <w:sz w:val="20"/>
          <w:szCs w:val="20"/>
          <w:color w:val="auto"/>
        </w:rPr>
      </w:pPr>
    </w:p>
    <w:p>
      <w:pPr>
        <w:ind w:left="300" w:right="419"/>
        <w:spacing w:after="0" w:line="289" w:lineRule="auto"/>
        <w:rPr>
          <w:sz w:val="20"/>
          <w:szCs w:val="20"/>
          <w:color w:val="auto"/>
        </w:rPr>
      </w:pPr>
      <w:r>
        <w:rPr>
          <w:rFonts w:ascii="Times New Roman" w:cs="Times New Roman" w:eastAsia="Times New Roman" w:hAnsi="Times New Roman"/>
          <w:sz w:val="17"/>
          <w:szCs w:val="17"/>
          <w:color w:val="auto"/>
        </w:rPr>
        <w:t>Subject to Section 22, Shares shall not be issued pursuant to the exercise of an Option or Stock Award unless the exercise of such Option or Stock Award and the issuance and delivery of such Shares shall comply with Applicable Laws and shall be further subject to the approval of counsel for the Company with respect to such compliance.</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19. Reservation of Shares.</w:t>
      </w:r>
    </w:p>
    <w:p>
      <w:pPr>
        <w:spacing w:after="0" w:line="189"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The Company, during the term of this Plan, will at all times reserve and keep available such number of Shares as shall be sufficient to satisfy the requirements of the Plan.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 Notice.</w:t>
      </w:r>
    </w:p>
    <w:p>
      <w:pPr>
        <w:spacing w:after="0" w:line="189"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Any written notice to the Company required by any provisions of this Plan shall be addressed to the Secretary of the Company and shall be effective when received.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21. Governing Law; Interpretation of Plan and Awards.</w:t>
      </w:r>
    </w:p>
    <w:p>
      <w:pPr>
        <w:spacing w:after="0" w:line="189" w:lineRule="exact"/>
        <w:rPr>
          <w:sz w:val="20"/>
          <w:szCs w:val="20"/>
          <w:color w:val="auto"/>
        </w:rPr>
      </w:pPr>
    </w:p>
    <w:p>
      <w:pPr>
        <w:ind w:left="320" w:right="579" w:hanging="8"/>
        <w:spacing w:after="0" w:line="282" w:lineRule="auto"/>
        <w:tabs>
          <w:tab w:leader="none" w:pos="5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and all determinations made and actions taken pursuant hereto shall be governed by the substantive laws, but not the choice of law rules, of the state of Delaware.</w:t>
      </w:r>
    </w:p>
    <w:p>
      <w:pPr>
        <w:spacing w:after="0" w:line="134" w:lineRule="exact"/>
        <w:rPr>
          <w:rFonts w:ascii="Times New Roman" w:cs="Times New Roman" w:eastAsia="Times New Roman" w:hAnsi="Times New Roman"/>
          <w:sz w:val="18"/>
          <w:szCs w:val="18"/>
          <w:color w:val="auto"/>
        </w:rPr>
      </w:pPr>
    </w:p>
    <w:p>
      <w:pPr>
        <w:ind w:left="320" w:right="359" w:hanging="8"/>
        <w:spacing w:after="0" w:line="258" w:lineRule="auto"/>
        <w:tabs>
          <w:tab w:leader="none" w:pos="5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provision of the Plan or any Award granted under the Plan is declared to be illegal, invalid or otherwise unenforceable by a court of competent jurisdiction, such provision shall be reformed, if possible, to the extent necessary to render it legal, valid and enforceable, or otherwise deleted, and the remainder of the terms of the Plan and/or Award shall not be affected except to the extent necessary to reform or delete such illegal, invalid or unenforceable provision.</w:t>
      </w:r>
    </w:p>
    <w:p>
      <w:pPr>
        <w:spacing w:after="0" w:line="142" w:lineRule="exact"/>
        <w:rPr>
          <w:rFonts w:ascii="Times New Roman" w:cs="Times New Roman" w:eastAsia="Times New Roman" w:hAnsi="Times New Roman"/>
          <w:sz w:val="18"/>
          <w:szCs w:val="18"/>
          <w:color w:val="auto"/>
        </w:rPr>
      </w:pPr>
    </w:p>
    <w:p>
      <w:pPr>
        <w:ind w:left="320" w:right="379" w:hanging="8"/>
        <w:spacing w:after="0" w:line="282" w:lineRule="auto"/>
        <w:tabs>
          <w:tab w:leader="none" w:pos="5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preceding the text of the sections hereof are inserted solely for convenience of reference, and shall not constitute a part of the Plan, nor shall they affect its meaning, construction or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3" w:name="page74"/>
    <w:bookmarkEnd w:id="73"/>
    <w:p>
      <w:pPr>
        <w:ind w:left="320" w:right="299" w:hanging="8"/>
        <w:spacing w:after="0" w:line="282" w:lineRule="auto"/>
        <w:tabs>
          <w:tab w:leader="none" w:pos="57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Plan and any Award shall inure to the benefit of and be binding upon the parties hereto and their respective permitted heirs, beneficiaries, successors and assigns.</w:t>
      </w:r>
    </w:p>
    <w:p>
      <w:pPr>
        <w:spacing w:after="0" w:line="121" w:lineRule="exact"/>
        <w:rPr>
          <w:rFonts w:ascii="Times New Roman" w:cs="Times New Roman" w:eastAsia="Times New Roman" w:hAnsi="Times New Roman"/>
          <w:sz w:val="18"/>
          <w:szCs w:val="18"/>
          <w:color w:val="auto"/>
        </w:rPr>
      </w:pPr>
    </w:p>
    <w:p>
      <w:pPr>
        <w:ind w:left="320" w:right="379" w:hanging="8"/>
        <w:spacing w:after="0" w:line="274" w:lineRule="auto"/>
        <w:tabs>
          <w:tab w:leader="none" w:pos="565"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questions arising under the Plan or under any Award shall be decided by the Administrator in its total and absolute discretion. In the event the Participant believes that a decision by the Administrator with respect to such person was arbitrary or capricious, the Participant may request arbitration with respect to such decision. The review by the arbitrator shall be limited to determining whether the Administrator’s decision was arbitrary or capricious. This arbitration shall be the sole and exclusive review permitted of the Administrator’s decision, and the Awardee shall as a condition to the receipt of an Award be deemed to explicitly waive any right to judicial review.</w:t>
      </w:r>
    </w:p>
    <w:p>
      <w:pPr>
        <w:spacing w:after="0" w:line="145" w:lineRule="exact"/>
        <w:rPr>
          <w:rFonts w:ascii="Times New Roman" w:cs="Times New Roman" w:eastAsia="Times New Roman" w:hAnsi="Times New Roman"/>
          <w:sz w:val="17"/>
          <w:szCs w:val="17"/>
          <w:color w:val="auto"/>
        </w:rPr>
      </w:pPr>
    </w:p>
    <w:p>
      <w:pPr>
        <w:ind w:left="320" w:right="419" w:hanging="8"/>
        <w:spacing w:after="0" w:line="255" w:lineRule="auto"/>
        <w:tabs>
          <w:tab w:leader="none" w:pos="54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demand for arbitration shall be made in writing to the Administrator within thirty (30) days after the applicable decision by the Administrator. The arbitrator shall be appointed in accordance with the Commercial Rules of Dispute Resolution of the American Arbitration Association; provided, however, that the arbitration shall not be administered by the American Arbitration Association. The arbitration shall be administered and conducted by the arbitrator pursuant to the Commercial Rules of Dispute Resolution of the American Arbitration Association. The decision of the arbitrator on the issue(s) presented for arbitration shall be final and conclusive and may be enforced in any court of competent jurisdiction.</w:t>
      </w:r>
    </w:p>
    <w:p>
      <w:pPr>
        <w:spacing w:after="0" w:line="144" w:lineRule="exact"/>
        <w:rPr>
          <w:rFonts w:ascii="Times New Roman" w:cs="Times New Roman" w:eastAsia="Times New Roman" w:hAnsi="Times New Roman"/>
          <w:sz w:val="18"/>
          <w:szCs w:val="18"/>
          <w:color w:val="auto"/>
        </w:rPr>
      </w:pPr>
    </w:p>
    <w:p>
      <w:pPr>
        <w:ind w:left="560" w:hanging="268"/>
        <w:spacing w:after="0"/>
        <w:tabs>
          <w:tab w:leader="none" w:pos="5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on Liability.</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and any Affiliate which is in existence or hereafter comes into existence shall not be liable to 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Participant, an Employee, an Awardee or any other persons as to:</w:t>
      </w:r>
    </w:p>
    <w:p>
      <w:pPr>
        <w:spacing w:after="0" w:line="164" w:lineRule="exact"/>
        <w:rPr>
          <w:sz w:val="20"/>
          <w:szCs w:val="20"/>
          <w:color w:val="auto"/>
        </w:rPr>
      </w:pPr>
    </w:p>
    <w:p>
      <w:pPr>
        <w:ind w:left="320" w:right="399" w:hanging="8"/>
        <w:spacing w:after="0" w:line="261" w:lineRule="auto"/>
        <w:tabs>
          <w:tab w:leader="none" w:pos="56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Non-Issuance of Shares. </w:t>
      </w:r>
      <w:r>
        <w:rPr>
          <w:rFonts w:ascii="Times New Roman" w:cs="Times New Roman" w:eastAsia="Times New Roman" w:hAnsi="Times New Roman"/>
          <w:sz w:val="18"/>
          <w:szCs w:val="18"/>
          <w:color w:val="auto"/>
        </w:rPr>
        <w:t>The non-issuance or sale of Shares (including under Section 18 above) as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been unable, or the Arbitration deems it infeasible, to obtain from any regulatory body having jurisdiction the authority deemed by the Company’s counsel to be necessary to the lawful issuance and sale of any shares hereunder; and</w:t>
      </w:r>
    </w:p>
    <w:p>
      <w:pPr>
        <w:spacing w:after="0" w:line="139" w:lineRule="exact"/>
        <w:rPr>
          <w:rFonts w:ascii="Times New Roman" w:cs="Times New Roman" w:eastAsia="Times New Roman" w:hAnsi="Times New Roman"/>
          <w:sz w:val="18"/>
          <w:szCs w:val="18"/>
          <w:color w:val="auto"/>
        </w:rPr>
      </w:pPr>
    </w:p>
    <w:p>
      <w:pPr>
        <w:ind w:left="320" w:right="359" w:hanging="8"/>
        <w:spacing w:after="0" w:line="253" w:lineRule="auto"/>
        <w:tabs>
          <w:tab w:leader="none" w:pos="5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Consequences. </w:t>
      </w:r>
      <w:r>
        <w:rPr>
          <w:rFonts w:ascii="Times New Roman" w:cs="Times New Roman" w:eastAsia="Times New Roman" w:hAnsi="Times New Roman"/>
          <w:sz w:val="18"/>
          <w:szCs w:val="18"/>
          <w:color w:val="auto"/>
        </w:rPr>
        <w:t>Any tax consequence realized by any Participant, Employee, Awardee or other person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receipt, vesting, exercise or settlement of any Option or other Award granted hereunder or due to the transfer of any Shares issued hereunder. The Participant is responsible for, and by accepting an Award under the Plan agrees to bear, all taxes of any nature that are legally imposed upon the Participant in connection with an Award, and the Company does not assume, and will not be liable to any party for, any cost or liability arising in connection with such tax liability legally imposed on the Participant. In particular, Awards issued under the Plan may be characterized by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as “deferred compensation” under the Code resulting in additional taxes, including in some cases interest and penalties. In the event the IRS determines that an Award constitutes deferred compensation under the Code or challenges any good faith characterization made by the Company or any other party of the tax treatment applicable to an Award, the Participant will be responsible for the additional taxes, and interest and penalties, if any, that are determined to apply if such challenge succeeds, and the Company will not reimburse the Participant for the amount of any additional taxes, penalties or interest that result.</w:t>
      </w:r>
    </w:p>
    <w:p>
      <w:pPr>
        <w:spacing w:after="0" w:line="162" w:lineRule="exact"/>
        <w:rPr>
          <w:rFonts w:ascii="Times New Roman" w:cs="Times New Roman" w:eastAsia="Times New Roman" w:hAnsi="Times New Roman"/>
          <w:sz w:val="18"/>
          <w:szCs w:val="18"/>
          <w:color w:val="auto"/>
        </w:rPr>
      </w:pPr>
    </w:p>
    <w:p>
      <w:pPr>
        <w:ind w:left="320" w:right="379" w:hanging="8"/>
        <w:spacing w:after="0" w:line="284" w:lineRule="auto"/>
        <w:tabs>
          <w:tab w:leader="none" w:pos="56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 </w:t>
      </w:r>
      <w:r>
        <w:rPr>
          <w:rFonts w:ascii="Times New Roman" w:cs="Times New Roman" w:eastAsia="Times New Roman" w:hAnsi="Times New Roman"/>
          <w:sz w:val="18"/>
          <w:szCs w:val="18"/>
          <w:color w:val="auto"/>
        </w:rPr>
        <w:t>The requirement that Participant forfeit an Award, or the benefits received or to be received under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pursuant to any Applicable Law.</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23. Indemnification.</w:t>
      </w:r>
    </w:p>
    <w:p>
      <w:pPr>
        <w:spacing w:after="0" w:line="189" w:lineRule="exact"/>
        <w:rPr>
          <w:sz w:val="20"/>
          <w:szCs w:val="20"/>
          <w:color w:val="auto"/>
        </w:rPr>
      </w:pPr>
    </w:p>
    <w:p>
      <w:pPr>
        <w:ind w:left="300" w:right="359"/>
        <w:spacing w:after="0" w:line="270" w:lineRule="auto"/>
        <w:rPr>
          <w:sz w:val="20"/>
          <w:szCs w:val="20"/>
          <w:color w:val="auto"/>
        </w:rPr>
      </w:pPr>
      <w:r>
        <w:rPr>
          <w:rFonts w:ascii="Times New Roman" w:cs="Times New Roman" w:eastAsia="Times New Roman" w:hAnsi="Times New Roman"/>
          <w:sz w:val="17"/>
          <w:szCs w:val="17"/>
          <w:color w:val="auto"/>
        </w:rPr>
        <w:t>In addition to such other rights of indemnification as they may have as members of the Board or officers or employees of the Company or an Affiliate, members of the Board and any officers or employees of the Company or an Affiliate to whom authority to act for the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any such action, suit or proceeding that such person is liable for gross negligence, bad faith or intentional misconduct in duties; provided,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4" w:name="page75"/>
    <w:bookmarkEnd w:id="74"/>
    <w:p>
      <w:pPr>
        <w:ind w:left="300" w:right="379"/>
        <w:spacing w:after="0" w:line="282" w:lineRule="auto"/>
        <w:rPr>
          <w:sz w:val="20"/>
          <w:szCs w:val="20"/>
          <w:color w:val="auto"/>
        </w:rPr>
      </w:pPr>
      <w:r>
        <w:rPr>
          <w:rFonts w:ascii="Times New Roman" w:cs="Times New Roman" w:eastAsia="Times New Roman" w:hAnsi="Times New Roman"/>
          <w:sz w:val="18"/>
          <w:szCs w:val="18"/>
          <w:color w:val="auto"/>
        </w:rPr>
        <w:t>however, that within sixty (60) days after the institution of such action, suit or proceeding, such person shall offer to the Company, in writing, the opportunity at its own expense to handle and defend the same.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24. Unfunded Plan.</w:t>
      </w:r>
    </w:p>
    <w:p>
      <w:pPr>
        <w:spacing w:after="0" w:line="18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Insofar as it provides for Awards, the Plan shall be unfunded. Although bookkeeping accounts may be established with respect to Awardees who are granted Stock Awards under this Plan, any such accounts will be used merely as a bookkeeping convenience. The Company shall not be required to segregate any assets which may at any time be represented by Awards, nor shall this Plan be construed as providing for such segregation, nor shall the Company nor the Administrator be deemed to be a trustee of stock or cash to be awarded under the Plan. Any liability of the Company to any Participant with respect to an Award shall be based solely upon any contractual obligations which may be created by the Plan; no such obligation of the Company shall be deemed to be secured by any pledge or other encumbrance on any property of the Company. Neither the Company nor the Administrator shall be required to give any security or bond for the performance of any obligation which may be created by this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5" w:name="page76"/>
    <w:bookmarkEnd w:id="75"/>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8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HERON THERAPEUTICS, INC.</w:t>
      </w:r>
    </w:p>
    <w:p>
      <w:pPr>
        <w:spacing w:after="0" w:line="18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1997 EMPLOYEE STOCK PURCHASE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through June 8, 2023)</w:t>
      </w:r>
    </w:p>
    <w:p>
      <w:pPr>
        <w:spacing w:after="0" w:line="180" w:lineRule="exact"/>
        <w:rPr>
          <w:sz w:val="20"/>
          <w:szCs w:val="20"/>
          <w:color w:val="auto"/>
        </w:rPr>
      </w:pPr>
    </w:p>
    <w:p>
      <w:pPr>
        <w:ind w:left="300" w:right="699" w:hanging="8"/>
        <w:spacing w:after="0" w:line="266" w:lineRule="auto"/>
        <w:tabs>
          <w:tab w:leader="none" w:pos="4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 This Heron Therapeutics, Inc. 1997 Employee Stock Purchase Plan is designed to encourage and assist employees of Heron Therapeutics, Inc. and participating subsidiaries to acquire an equity interest in the Company through the purchase of shares of Company common stock.</w:t>
      </w:r>
    </w:p>
    <w:p>
      <w:pPr>
        <w:spacing w:after="0" w:line="135" w:lineRule="exact"/>
        <w:rPr>
          <w:rFonts w:ascii="Times New Roman" w:cs="Times New Roman" w:eastAsia="Times New Roman" w:hAnsi="Times New Roman"/>
          <w:sz w:val="18"/>
          <w:szCs w:val="18"/>
          <w:color w:val="auto"/>
        </w:rPr>
      </w:pPr>
    </w:p>
    <w:p>
      <w:pPr>
        <w:ind w:left="480" w:hanging="188"/>
        <w:spacing w:after="0"/>
        <w:tabs>
          <w:tab w:leader="none" w:pos="4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As used herein, the following definitions shall apply:</w:t>
      </w:r>
    </w:p>
    <w:p>
      <w:pPr>
        <w:spacing w:after="0" w:line="184" w:lineRule="exact"/>
        <w:rPr>
          <w:rFonts w:ascii="Times New Roman" w:cs="Times New Roman" w:eastAsia="Times New Roman" w:hAnsi="Times New Roman"/>
          <w:sz w:val="18"/>
          <w:szCs w:val="18"/>
          <w:color w:val="auto"/>
        </w:rPr>
      </w:pPr>
    </w:p>
    <w:p>
      <w:pPr>
        <w:ind w:left="320" w:right="1139" w:hanging="8"/>
        <w:spacing w:after="0" w:line="282" w:lineRule="auto"/>
        <w:tabs>
          <w:tab w:leader="none" w:pos="56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 shall mean the entity, either the Board or the committee of the Board, responsible for administering this Plan, as provided in Section 3.</w:t>
      </w:r>
    </w:p>
    <w:p>
      <w:pPr>
        <w:spacing w:after="0" w:line="121"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shall mean the Board of Directors of the Company, as constituted from time to time.</w:t>
      </w:r>
    </w:p>
    <w:p>
      <w:pPr>
        <w:spacing w:after="0" w:line="184"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shall mean the Internal Revenue Code of 1986, as amended from time to time, and any successor statute.</w:t>
      </w:r>
    </w:p>
    <w:p>
      <w:pPr>
        <w:spacing w:after="0" w:line="198"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mean Heron Therapeutics, Inc., a Delaware corporation, and Participating Subsidiaries.</w:t>
      </w:r>
    </w:p>
    <w:p>
      <w:pPr>
        <w:spacing w:after="0" w:line="184"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shall mean the Common Stock, $.01 par value, of the Company.</w:t>
      </w:r>
    </w:p>
    <w:p>
      <w:pPr>
        <w:spacing w:after="0" w:line="184" w:lineRule="exact"/>
        <w:rPr>
          <w:rFonts w:ascii="Times New Roman" w:cs="Times New Roman" w:eastAsia="Times New Roman" w:hAnsi="Times New Roman"/>
          <w:sz w:val="18"/>
          <w:szCs w:val="18"/>
          <w:color w:val="auto"/>
        </w:rPr>
      </w:pPr>
    </w:p>
    <w:p>
      <w:pPr>
        <w:ind w:left="320" w:right="399" w:hanging="8"/>
        <w:spacing w:after="0" w:line="282" w:lineRule="auto"/>
        <w:tabs>
          <w:tab w:leader="none" w:pos="54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mean any individual who is an employee of the Company or a Participating Subsidiary within the meaning of Section 3401(c) of the Code and the Treasury Regulations thereunder.</w:t>
      </w:r>
    </w:p>
    <w:p>
      <w:pPr>
        <w:spacing w:after="0" w:line="121"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Date” shall have the meaning set forth in Section 6.</w:t>
      </w:r>
    </w:p>
    <w:p>
      <w:pPr>
        <w:spacing w:after="0" w:line="184" w:lineRule="exact"/>
        <w:rPr>
          <w:rFonts w:ascii="Times New Roman" w:cs="Times New Roman" w:eastAsia="Times New Roman" w:hAnsi="Times New Roman"/>
          <w:sz w:val="18"/>
          <w:szCs w:val="18"/>
          <w:color w:val="auto"/>
        </w:rPr>
      </w:pPr>
    </w:p>
    <w:p>
      <w:pPr>
        <w:ind w:left="320" w:right="379" w:hanging="8"/>
        <w:spacing w:after="0" w:line="256" w:lineRule="auto"/>
        <w:tabs>
          <w:tab w:leader="none" w:pos="57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as of any given date: (i) the closing price of the Common Stock on the Nasdaq Stock Market as reported in the Wall Street Journal; or (ii) if the Common Stock is no longer quoted on the Nasdaq Stock Market, but is listed on an established stock exchange or quoted on any other established interdealer quotation system, the closing price for the Common Stock on such exchange or system, as reported in the Wall Street Journal; or (iii) in the absence of an established market for the Common Stock, the fair market value of the Common Stock as determined by the Administrator in good faith.</w:t>
      </w:r>
    </w:p>
    <w:p>
      <w:pPr>
        <w:spacing w:after="0" w:line="146" w:lineRule="exact"/>
        <w:rPr>
          <w:rFonts w:ascii="Times New Roman" w:cs="Times New Roman" w:eastAsia="Times New Roman" w:hAnsi="Times New Roman"/>
          <w:sz w:val="18"/>
          <w:szCs w:val="18"/>
          <w:color w:val="auto"/>
        </w:rPr>
      </w:pPr>
    </w:p>
    <w:p>
      <w:pPr>
        <w:ind w:left="520" w:hanging="208"/>
        <w:spacing w:after="0"/>
        <w:tabs>
          <w:tab w:leader="none" w:pos="5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Price Enrollment Date” shall have the meaning set forth in Section 6.</w:t>
      </w:r>
    </w:p>
    <w:p>
      <w:pPr>
        <w:spacing w:after="0" w:line="198" w:lineRule="exact"/>
        <w:rPr>
          <w:rFonts w:ascii="Times New Roman" w:cs="Times New Roman" w:eastAsia="Times New Roman" w:hAnsi="Times New Roman"/>
          <w:sz w:val="18"/>
          <w:szCs w:val="18"/>
          <w:color w:val="auto"/>
        </w:rPr>
      </w:pPr>
    </w:p>
    <w:p>
      <w:pPr>
        <w:ind w:left="520" w:hanging="208"/>
        <w:spacing w:after="0"/>
        <w:tabs>
          <w:tab w:leader="none" w:pos="5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Period” shall have the meaning set forth in Section 7(b).</w:t>
      </w:r>
    </w:p>
    <w:p>
      <w:pPr>
        <w:spacing w:after="0" w:line="184" w:lineRule="exact"/>
        <w:rPr>
          <w:rFonts w:ascii="Times New Roman" w:cs="Times New Roman" w:eastAsia="Times New Roman" w:hAnsi="Times New Roman"/>
          <w:sz w:val="18"/>
          <w:szCs w:val="18"/>
          <w:color w:val="auto"/>
        </w:rPr>
      </w:pPr>
    </w:p>
    <w:p>
      <w:pPr>
        <w:ind w:left="320" w:right="479" w:hanging="8"/>
        <w:spacing w:after="0" w:line="282" w:lineRule="auto"/>
        <w:tabs>
          <w:tab w:leader="none" w:pos="57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Subsidiary” shall mean a Subsidiary which has been designated by the Administrator as covered by the Plan.</w:t>
      </w:r>
    </w:p>
    <w:p>
      <w:pPr>
        <w:spacing w:after="0" w:line="161" w:lineRule="exact"/>
        <w:rPr>
          <w:rFonts w:ascii="Times New Roman" w:cs="Times New Roman" w:eastAsia="Times New Roman" w:hAnsi="Times New Roman"/>
          <w:sz w:val="18"/>
          <w:szCs w:val="18"/>
          <w:color w:val="auto"/>
        </w:rPr>
      </w:pPr>
    </w:p>
    <w:p>
      <w:pPr>
        <w:ind w:left="320" w:right="319" w:hanging="8"/>
        <w:spacing w:after="0" w:line="282" w:lineRule="auto"/>
        <w:tabs>
          <w:tab w:leader="none" w:pos="53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shall mean this Heron Therapeutics, Inc. 1997 Employee Stock Purchase Plan, as it may be amended from time to time.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 “Purchase Date” shall have the meaning set forth in Section 9(a).</w:t>
      </w:r>
    </w:p>
    <w:p>
      <w:pPr>
        <w:spacing w:after="0" w:line="185" w:lineRule="exact"/>
        <w:rPr>
          <w:sz w:val="20"/>
          <w:szCs w:val="20"/>
          <w:color w:val="auto"/>
        </w:rPr>
      </w:pPr>
    </w:p>
    <w:p>
      <w:pPr>
        <w:ind w:left="560" w:hanging="248"/>
        <w:spacing w:after="0"/>
        <w:tabs>
          <w:tab w:leader="none" w:pos="5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unless the context clearly indicates otherwise, shall refer to a Section of this Plan.</w:t>
      </w:r>
    </w:p>
    <w:p>
      <w:pPr>
        <w:spacing w:after="0" w:line="184" w:lineRule="exact"/>
        <w:rPr>
          <w:rFonts w:ascii="Times New Roman" w:cs="Times New Roman" w:eastAsia="Times New Roman" w:hAnsi="Times New Roman"/>
          <w:sz w:val="18"/>
          <w:szCs w:val="18"/>
          <w:color w:val="auto"/>
        </w:rPr>
      </w:pPr>
    </w:p>
    <w:p>
      <w:pPr>
        <w:ind w:left="320" w:right="499" w:hanging="8"/>
        <w:spacing w:after="0" w:line="282" w:lineRule="auto"/>
        <w:tabs>
          <w:tab w:leader="none" w:pos="5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shall mean a “subsidiary corporation” of the Company, whether now or hereafter existing, within the meaning of Section 424(f) of the Code, but only for so long as it is a “subsidiary corporation.”</w:t>
      </w:r>
    </w:p>
    <w:p>
      <w:pPr>
        <w:spacing w:after="0" w:line="121" w:lineRule="exact"/>
        <w:rPr>
          <w:rFonts w:ascii="Times New Roman" w:cs="Times New Roman" w:eastAsia="Times New Roman" w:hAnsi="Times New Roman"/>
          <w:sz w:val="18"/>
          <w:szCs w:val="18"/>
          <w:color w:val="auto"/>
        </w:rPr>
      </w:pPr>
    </w:p>
    <w:p>
      <w:pPr>
        <w:ind w:left="320" w:right="679" w:hanging="8"/>
        <w:spacing w:after="0" w:line="282" w:lineRule="auto"/>
        <w:tabs>
          <w:tab w:leader="none" w:pos="5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means any day on which regular trading occurs on any established stock exchange or market system on which the Common Stock is traded.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8"/>
          <w:szCs w:val="18"/>
          <w:color w:val="auto"/>
        </w:rPr>
        <w:t>3. ADMINISTRATION.</w:t>
      </w:r>
    </w:p>
    <w:p>
      <w:pPr>
        <w:spacing w:after="0" w:line="185" w:lineRule="exact"/>
        <w:rPr>
          <w:sz w:val="20"/>
          <w:szCs w:val="20"/>
          <w:color w:val="auto"/>
        </w:rPr>
      </w:pPr>
    </w:p>
    <w:p>
      <w:pPr>
        <w:ind w:left="300" w:right="379" w:hanging="8"/>
        <w:spacing w:after="0" w:line="255" w:lineRule="auto"/>
        <w:tabs>
          <w:tab w:leader="none" w:pos="5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 The Plan shall be administered by the Board or, upon delegation by the Board, by a committee of the Board (in either case, the “Administrator”). In connection with the administration of the Plan, the Administrator shall have the powers possessed by the Board. The Administrator may act only by a majority of its members. The Administrator may delegate administrative duties to such employees of the Company as it deems proper, so long as such delegation is not otherwise prohibited by Rule 16b-3 under the Securities Exchange Act of 1934, as amended, or other applicable law. The Board at any time may terminate the authority delegated to any committee of the Board pursuant to this Section 3(a) and revest in the Board the administration of the Plan.</w:t>
      </w:r>
    </w:p>
    <w:p>
      <w:pPr>
        <w:spacing w:after="0" w:line="161" w:lineRule="exact"/>
        <w:rPr>
          <w:rFonts w:ascii="Times New Roman" w:cs="Times New Roman" w:eastAsia="Times New Roman" w:hAnsi="Times New Roman"/>
          <w:sz w:val="18"/>
          <w:szCs w:val="18"/>
          <w:color w:val="auto"/>
        </w:rPr>
      </w:pPr>
    </w:p>
    <w:p>
      <w:pPr>
        <w:ind w:left="320" w:right="319" w:hanging="8"/>
        <w:spacing w:after="0" w:line="253" w:lineRule="auto"/>
        <w:tabs>
          <w:tab w:leader="none" w:pos="57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 Determinations Binding. The Administrator may adopt, alter and repeal administrative rules, guidelines and practices governing the Plan and the options granted under it as it shall deem advisable from time to time, may interpret the terms and provisions of the Plan and the Options granted under it, may correct any defect, omission or inconsistency in the Plan or in any Option; and may otherwise supervise the administration of the Plan and the Options granted under it. The Administrator may establish, under guidelines from the Board, limits on the number of shares which may be purchased by each participant on an annual or other periodic basis or on the number of shares which may be purchased on any Purchase Date. All decisions made by the Administrator under the Plan shall be binding on all persons, including the Company and all participants in the Plan. No member of the Administrator shall be liable for any action that he or she has in good faith taken or failed to take with respect to this Plan.</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 NUMBER OF SHARES.</w:t>
      </w:r>
    </w:p>
    <w:p>
      <w:pPr>
        <w:spacing w:after="0" w:line="225" w:lineRule="exact"/>
        <w:rPr>
          <w:sz w:val="20"/>
          <w:szCs w:val="20"/>
          <w:color w:val="auto"/>
        </w:rPr>
      </w:pPr>
    </w:p>
    <w:p>
      <w:pPr>
        <w:ind w:left="300" w:right="299" w:hanging="8"/>
        <w:spacing w:after="0" w:line="254" w:lineRule="auto"/>
        <w:tabs>
          <w:tab w:leader="none" w:pos="54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reserved for sale under the Plan 2,225,000 shares of Common Stock. Shares sold under the Plan may be newly issued shares or shares reacquired in private transactions or open market purchases, but all shares sold under the Plan, regardless of source, shall be counted against the 2,225,000 share limitation. If at any Purchase Date, the shares available under the Plan are less than the number all participants would otherwise be entitled to purchase on such date, purchases shall be reduced proportionately to eliminate the deficit. If, at any Purchase Date, the shares which may be purchased by a participant are restricted on account of a limit on the aggregate shares which may be purchased per employee, purchases under each option shall be reduced proportionately. Any funds that cannot be applied to the purchase of shares due to such reductions shall be refunded to participants as soon as administratively feasible.</w:t>
      </w:r>
    </w:p>
    <w:p>
      <w:pPr>
        <w:spacing w:after="0" w:line="188" w:lineRule="exact"/>
        <w:rPr>
          <w:rFonts w:ascii="Times New Roman" w:cs="Times New Roman" w:eastAsia="Times New Roman" w:hAnsi="Times New Roman"/>
          <w:sz w:val="18"/>
          <w:szCs w:val="18"/>
          <w:color w:val="auto"/>
        </w:rPr>
      </w:pPr>
    </w:p>
    <w:p>
      <w:pPr>
        <w:jc w:val="both"/>
        <w:ind w:left="320" w:right="419" w:hanging="8"/>
        <w:spacing w:after="0" w:line="258" w:lineRule="auto"/>
        <w:tabs>
          <w:tab w:leader="none" w:pos="57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reorganization, recapitalization, stock split, reverse stock split, stock dividend, combination of shares, merger, consolidation, offering of rights, or other similar change in the capital structure of the Company, the Board may make such adjustment, if any, as it deems appropriate in the number, kind, and purchase price of the shares available for purchase under the Plan and in the maximum number of shares subject to any option under the Plan.</w:t>
      </w:r>
    </w:p>
    <w:p>
      <w:pPr>
        <w:spacing w:after="0" w:line="143" w:lineRule="exact"/>
        <w:rPr>
          <w:sz w:val="20"/>
          <w:szCs w:val="20"/>
          <w:color w:val="auto"/>
        </w:rPr>
      </w:pPr>
    </w:p>
    <w:p>
      <w:pPr>
        <w:ind w:left="480" w:hanging="188"/>
        <w:spacing w:after="0"/>
        <w:tabs>
          <w:tab w:leader="none" w:pos="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REQUIREMENTS.</w:t>
      </w:r>
    </w:p>
    <w:p>
      <w:pPr>
        <w:spacing w:after="0" w:line="184" w:lineRule="exact"/>
        <w:rPr>
          <w:rFonts w:ascii="Times New Roman" w:cs="Times New Roman" w:eastAsia="Times New Roman" w:hAnsi="Times New Roman"/>
          <w:sz w:val="18"/>
          <w:szCs w:val="18"/>
          <w:color w:val="auto"/>
        </w:rPr>
      </w:pPr>
    </w:p>
    <w:p>
      <w:pPr>
        <w:ind w:left="320" w:right="399" w:hanging="8"/>
        <w:spacing w:after="0" w:line="261" w:lineRule="auto"/>
        <w:tabs>
          <w:tab w:leader="none" w:pos="56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of the Company, except those described in the next paragraph, shall become eligible to participate in the Plan in accordance with Section 6 on the first Enrollment Date on or following commencement of his or her employment by the Company or following such period of employment as is designated by the Administrator from time to time. Participation in the Plan is entirely voluntary.</w:t>
      </w:r>
    </w:p>
    <w:p>
      <w:pPr>
        <w:spacing w:after="0" w:line="139"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Employees are not eligible to participate in the Plan:</w:t>
      </w:r>
    </w:p>
    <w:p>
      <w:pPr>
        <w:spacing w:after="0" w:line="198" w:lineRule="exact"/>
        <w:rPr>
          <w:rFonts w:ascii="Times New Roman" w:cs="Times New Roman" w:eastAsia="Times New Roman" w:hAnsi="Times New Roman"/>
          <w:sz w:val="18"/>
          <w:szCs w:val="18"/>
          <w:color w:val="auto"/>
        </w:rPr>
      </w:pPr>
    </w:p>
    <w:p>
      <w:pPr>
        <w:ind w:left="360" w:right="479" w:hanging="9"/>
        <w:spacing w:after="0" w:line="266" w:lineRule="auto"/>
        <w:tabs>
          <w:tab w:leader="none" w:pos="57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 would, immediately upon enrollment in the Plan, own directly or indirectly, or hold options or rights to acquire stock possessing, five percent (5%) or more of the total combined voting power or value of all classes of stock of the Company or any subsidiary of the Company; and</w:t>
      </w:r>
    </w:p>
    <w:p>
      <w:pPr>
        <w:spacing w:after="0" w:line="135" w:lineRule="exact"/>
        <w:rPr>
          <w:rFonts w:ascii="Times New Roman" w:cs="Times New Roman" w:eastAsia="Times New Roman" w:hAnsi="Times New Roman"/>
          <w:sz w:val="18"/>
          <w:szCs w:val="18"/>
          <w:color w:val="auto"/>
        </w:rPr>
      </w:pPr>
    </w:p>
    <w:p>
      <w:pPr>
        <w:ind w:left="360" w:right="619" w:hanging="9"/>
        <w:spacing w:after="0" w:line="282" w:lineRule="auto"/>
        <w:tabs>
          <w:tab w:leader="none" w:pos="625"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 are customarily employed by the Company fewer than twenty (20) hours per week or fewer than five (5) months in any calendar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7" w:name="page78"/>
    <w:bookmarkEnd w:id="77"/>
    <w:p>
      <w:pPr>
        <w:ind w:left="300" w:right="299" w:hanging="8"/>
        <w:spacing w:after="0" w:line="253" w:lineRule="auto"/>
        <w:tabs>
          <w:tab w:leader="none" w:pos="4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Any eligible employee may enroll or re-enroll in the Plan each year as of the close of the first trading day of: (a) May and November of each such year; or (b) such other days as may be established by the Board from time to time (the “Enrollment Dates”); provided, that the first Enrollment Date shall be April 30, 1997. In order to enroll, an eligible employee must complete, sign, and submit to the Company an enrollment form. Any enrollment form received by the Company by the 20th day of the month preceding an Enrollment Date (or by the Enrollment Date in the case of employees hired after such 20th day or in the case of the first Enrollment Date), or such other date established by the Administrator from time to time, will be effective on that Enrollment Date. In addition, the Administrator may re-enroll existing participants in the Plan on any Enrollment Date (the “Lower Price Enrollment Date”) on which the fair market value of the Common Stock is lower than the fair market value on such participant’s existing Enrollment Date. A participant may elect not to re-enroll on a Lower Price Enrollment Date by filing a written statement with the Company declaring such election prior to the Lower Price Enrollment Date.</w:t>
      </w:r>
    </w:p>
    <w:p>
      <w:pPr>
        <w:spacing w:after="0" w:line="151" w:lineRule="exact"/>
        <w:rPr>
          <w:rFonts w:ascii="Times New Roman" w:cs="Times New Roman" w:eastAsia="Times New Roman" w:hAnsi="Times New Roman"/>
          <w:sz w:val="18"/>
          <w:szCs w:val="18"/>
          <w:color w:val="auto"/>
        </w:rPr>
      </w:pPr>
    </w:p>
    <w:p>
      <w:pPr>
        <w:ind w:left="480" w:hanging="188"/>
        <w:spacing w:after="0"/>
        <w:tabs>
          <w:tab w:leader="none" w:pos="4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OPTION ENROLLMENT.</w:t>
      </w:r>
    </w:p>
    <w:p>
      <w:pPr>
        <w:spacing w:after="0" w:line="198" w:lineRule="exact"/>
        <w:rPr>
          <w:rFonts w:ascii="Times New Roman" w:cs="Times New Roman" w:eastAsia="Times New Roman" w:hAnsi="Times New Roman"/>
          <w:sz w:val="18"/>
          <w:szCs w:val="18"/>
          <w:color w:val="auto"/>
        </w:rPr>
      </w:pPr>
    </w:p>
    <w:p>
      <w:pPr>
        <w:ind w:left="320" w:right="359" w:hanging="8"/>
        <w:spacing w:after="0" w:line="258" w:lineRule="auto"/>
        <w:tabs>
          <w:tab w:leader="none" w:pos="56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or re-enrollment by a participant in the Plan on an Enrollment Date will constitute the grant by the Company to the participant of an option to purchase shares of Common Stock from the Company under the Plan. Any participant whose option expires and who has not withdrawn from the Plan will automatically be re-enrolled in the Plan and granted a new option on the Enrollment Date immediately following the date on which the option expires.</w:t>
      </w:r>
    </w:p>
    <w:p>
      <w:pPr>
        <w:spacing w:after="0" w:line="142"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10, each option granted under the Plan shall have the following terms:</w:t>
      </w:r>
    </w:p>
    <w:p>
      <w:pPr>
        <w:spacing w:after="0" w:line="27" w:lineRule="exact"/>
        <w:rPr>
          <w:rFonts w:ascii="Times New Roman" w:cs="Times New Roman" w:eastAsia="Times New Roman" w:hAnsi="Times New Roman"/>
          <w:sz w:val="18"/>
          <w:szCs w:val="18"/>
          <w:color w:val="auto"/>
        </w:rPr>
      </w:pPr>
    </w:p>
    <w:p>
      <w:pPr>
        <w:ind w:left="360" w:right="319" w:hanging="9"/>
        <w:spacing w:after="0" w:line="252" w:lineRule="auto"/>
        <w:tabs>
          <w:tab w:leader="none" w:pos="57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will have a term of not more than twenty-four (24) months or such shorter option period as may be established by the Board from time to time (the “Option Period”). Notwithstanding the foregoing, however, whether or not all shares have been purchased thereunder, the option will expire on the earlier to occur of: (A) the completion of the purchase of shares on the last Purchase Date occurring within twenty-four (24) months after the Enrollment Date for such option, or such shorter option period as may be established by the Board before an Enrollment Date for all options to be granted on such date; or (B) the date on which the employee’s participation in the Plan terminates for any reason;</w:t>
      </w:r>
    </w:p>
    <w:p>
      <w:pPr>
        <w:spacing w:after="0" w:line="147" w:lineRule="exact"/>
        <w:rPr>
          <w:rFonts w:ascii="Times New Roman" w:cs="Times New Roman" w:eastAsia="Times New Roman" w:hAnsi="Times New Roman"/>
          <w:sz w:val="18"/>
          <w:szCs w:val="18"/>
          <w:color w:val="auto"/>
        </w:rPr>
      </w:pPr>
    </w:p>
    <w:p>
      <w:pPr>
        <w:ind w:left="360" w:right="579" w:hanging="9"/>
        <w:spacing w:after="0" w:line="282" w:lineRule="auto"/>
        <w:tabs>
          <w:tab w:leader="none" w:pos="625"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shares purchased under the option will be made only through payroll withholding in accordance with Section 8;</w:t>
      </w:r>
    </w:p>
    <w:p>
      <w:pPr>
        <w:spacing w:after="0" w:line="121" w:lineRule="exact"/>
        <w:rPr>
          <w:rFonts w:ascii="Times New Roman" w:cs="Times New Roman" w:eastAsia="Times New Roman" w:hAnsi="Times New Roman"/>
          <w:sz w:val="18"/>
          <w:szCs w:val="18"/>
          <w:color w:val="auto"/>
        </w:rPr>
      </w:pPr>
    </w:p>
    <w:p>
      <w:pPr>
        <w:ind w:left="360" w:right="819" w:hanging="9"/>
        <w:spacing w:after="0" w:line="282" w:lineRule="auto"/>
        <w:tabs>
          <w:tab w:leader="none" w:pos="675"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shares upon exercise of the option will be effected only on the Purchase Dates established in accordance with Section 9;</w:t>
      </w:r>
    </w:p>
    <w:p>
      <w:pPr>
        <w:spacing w:after="0" w:line="121" w:lineRule="exact"/>
        <w:rPr>
          <w:rFonts w:ascii="Times New Roman" w:cs="Times New Roman" w:eastAsia="Times New Roman" w:hAnsi="Times New Roman"/>
          <w:sz w:val="18"/>
          <w:szCs w:val="18"/>
          <w:color w:val="auto"/>
        </w:rPr>
      </w:pPr>
    </w:p>
    <w:p>
      <w:pPr>
        <w:jc w:val="both"/>
        <w:ind w:left="360" w:right="359" w:hanging="9"/>
        <w:spacing w:after="0" w:line="272" w:lineRule="auto"/>
        <w:tabs>
          <w:tab w:leader="none" w:pos="665"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if not altered, amended or revoked by the Company prior to the relevant Purchase Date, may be accepted only by (x) there having been withheld from the compensation of the employee in accordance with the terms of the Plan amounts sufficient to purchase the Common Stock intended to be purchased under the option, and</w:t>
      </w:r>
    </w:p>
    <w:p>
      <w:pPr>
        <w:spacing w:after="0" w:line="1" w:lineRule="exact"/>
        <w:rPr>
          <w:rFonts w:ascii="Times New Roman" w:cs="Times New Roman" w:eastAsia="Times New Roman" w:hAnsi="Times New Roman"/>
          <w:sz w:val="17"/>
          <w:szCs w:val="17"/>
          <w:color w:val="auto"/>
        </w:rPr>
      </w:pPr>
    </w:p>
    <w:p>
      <w:pPr>
        <w:ind w:left="360" w:right="93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the employee being employed by the Company and not having withdrawn from the Plan on the relevant Purchase Date.</w:t>
      </w:r>
    </w:p>
    <w:p>
      <w:pPr>
        <w:spacing w:after="0" w:line="154" w:lineRule="exact"/>
        <w:rPr>
          <w:rFonts w:ascii="Times New Roman" w:cs="Times New Roman" w:eastAsia="Times New Roman" w:hAnsi="Times New Roman"/>
          <w:sz w:val="17"/>
          <w:szCs w:val="17"/>
          <w:color w:val="auto"/>
        </w:rPr>
      </w:pPr>
    </w:p>
    <w:p>
      <w:pPr>
        <w:ind w:left="600" w:hanging="249"/>
        <w:spacing w:after="0"/>
        <w:tabs>
          <w:tab w:leader="none" w:pos="6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under the option will be determined as provided in Section 9;</w:t>
      </w:r>
    </w:p>
    <w:p>
      <w:pPr>
        <w:spacing w:after="0" w:line="184" w:lineRule="exact"/>
        <w:rPr>
          <w:rFonts w:ascii="Times New Roman" w:cs="Times New Roman" w:eastAsia="Times New Roman" w:hAnsi="Times New Roman"/>
          <w:sz w:val="18"/>
          <w:szCs w:val="18"/>
          <w:color w:val="auto"/>
        </w:rPr>
      </w:pPr>
    </w:p>
    <w:p>
      <w:pPr>
        <w:ind w:left="360" w:right="299" w:hanging="9"/>
        <w:spacing w:after="0" w:line="255" w:lineRule="auto"/>
        <w:tabs>
          <w:tab w:leader="none" w:pos="665"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available for purchase under an option for each one percent (1%) of compensation designated by an employee in accordance with Section 8 will, unless otherwise established by the Board before an Enrollment Date for all options to be granted on such date, be determined by dividing $25,000 by the fair market value of a share of Common Stock on the Enrollment Date, dividing the result by the maximum number of percentage points that an employee may designate under Section 8 at the time such option is granted, and multiplying the result by the number of calendar years included in whole or in part in the period from grant to expiration of the option;</w:t>
      </w:r>
    </w:p>
    <w:p>
      <w:pPr>
        <w:spacing w:after="0" w:line="148" w:lineRule="exact"/>
        <w:rPr>
          <w:rFonts w:ascii="Times New Roman" w:cs="Times New Roman" w:eastAsia="Times New Roman" w:hAnsi="Times New Roman"/>
          <w:sz w:val="18"/>
          <w:szCs w:val="18"/>
          <w:color w:val="auto"/>
        </w:rPr>
      </w:pPr>
    </w:p>
    <w:p>
      <w:pPr>
        <w:ind w:left="360" w:right="519" w:hanging="9"/>
        <w:spacing w:after="0" w:line="258" w:lineRule="auto"/>
        <w:tabs>
          <w:tab w:leader="none" w:pos="715"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(taken together with all other options then outstanding under this and all other similar stock purchase plans of the Company and any subsidiary of the Company, collectively “Options”) will in no event give the participant the right to purchase shares at a rate per calendar year which accrues in excess of $25,000 of fair market value of such shares, less the fair market value of any shares accrued and already purchased during such year under Options which have expired or terminated, determined at the applicable Enrollment Dates;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8" w:name="page79"/>
    <w:bookmarkEnd w:id="78"/>
    <w:p>
      <w:pPr>
        <w:ind w:left="360" w:right="1039" w:hanging="9"/>
        <w:spacing w:after="0" w:line="282" w:lineRule="auto"/>
        <w:tabs>
          <w:tab w:leader="none" w:pos="765"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will in all respects be subject to the terms and conditions of the Plan, as interpreted by the Administrator from time to time.</w:t>
      </w:r>
    </w:p>
    <w:p>
      <w:pPr>
        <w:spacing w:after="0" w:line="121" w:lineRule="exact"/>
        <w:rPr>
          <w:rFonts w:ascii="Times New Roman" w:cs="Times New Roman" w:eastAsia="Times New Roman" w:hAnsi="Times New Roman"/>
          <w:sz w:val="18"/>
          <w:szCs w:val="18"/>
          <w:color w:val="auto"/>
        </w:rPr>
      </w:pPr>
    </w:p>
    <w:p>
      <w:pPr>
        <w:ind w:left="480" w:hanging="188"/>
        <w:spacing w:after="0"/>
        <w:tabs>
          <w:tab w:leader="none" w:pos="4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TAX WITHHOLDING; USE BY COMPANY.</w:t>
      </w:r>
    </w:p>
    <w:p>
      <w:pPr>
        <w:spacing w:after="0" w:line="225" w:lineRule="exact"/>
        <w:rPr>
          <w:rFonts w:ascii="Times New Roman" w:cs="Times New Roman" w:eastAsia="Times New Roman" w:hAnsi="Times New Roman"/>
          <w:sz w:val="18"/>
          <w:szCs w:val="18"/>
          <w:color w:val="auto"/>
        </w:rPr>
      </w:pPr>
    </w:p>
    <w:p>
      <w:pPr>
        <w:ind w:left="320" w:right="339" w:hanging="8"/>
        <w:spacing w:after="0" w:line="253" w:lineRule="auto"/>
        <w:tabs>
          <w:tab w:leader="none" w:pos="56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shall elect to have amounts withheld from his or her compensation paid by the Company during the Option Period, at a rate equal to any whole percentage up to a maximum of ten percent (10%), or such lesser percentage as the Board may establish from time to time before an Enrollment Date. Compensation includes regular salary payments, annual and quarterly bonuses, hire-on bonuses, cash recognition awards, commissions, overtime pay, shift premiums, and elective contributions by the participant to qualified employee benefit plans, but excludes all other payments including, without limitation, long-term disability or workers compensation payments, car allowances, employee referral bonuses, relocation payments, expense reimbursements (including but not limited to travel, entertainment, and moving expenses), salary gross-up payments, and non-cash recognition awards. The participant shall designate a rate of withholding in his or her enrollment form and may elect to increase or decrease the rate of contribution effective as of any Enrollment Date, by delivery to the Company, not later than ten (10) days before such Enrollment Date, of a written notice indicating the revised withholding rate.</w:t>
      </w:r>
    </w:p>
    <w:p>
      <w:pPr>
        <w:spacing w:after="0" w:line="164" w:lineRule="exact"/>
        <w:rPr>
          <w:rFonts w:ascii="Times New Roman" w:cs="Times New Roman" w:eastAsia="Times New Roman" w:hAnsi="Times New Roman"/>
          <w:sz w:val="18"/>
          <w:szCs w:val="18"/>
          <w:color w:val="auto"/>
        </w:rPr>
      </w:pPr>
    </w:p>
    <w:p>
      <w:pPr>
        <w:ind w:left="320" w:right="459" w:hanging="8"/>
        <w:spacing w:after="0" w:line="261" w:lineRule="auto"/>
        <w:tabs>
          <w:tab w:leader="none" w:pos="57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withholdings shall be credited to an account maintained for purposes of the Plan on behalf of each participant, as soon as administratively feasible after the withholding occurs. The Company shall be entitled to use the withholdings for any corporate purpose, shall have no obligation to pay interest on withholdings to any participant, and shall not be obligated to segregate withholdings.</w:t>
      </w:r>
    </w:p>
    <w:p>
      <w:pPr>
        <w:spacing w:after="0" w:line="139" w:lineRule="exact"/>
        <w:rPr>
          <w:rFonts w:ascii="Times New Roman" w:cs="Times New Roman" w:eastAsia="Times New Roman" w:hAnsi="Times New Roman"/>
          <w:sz w:val="18"/>
          <w:szCs w:val="18"/>
          <w:color w:val="auto"/>
        </w:rPr>
      </w:pPr>
    </w:p>
    <w:p>
      <w:pPr>
        <w:ind w:left="320" w:right="319" w:hanging="8"/>
        <w:spacing w:after="0" w:line="273" w:lineRule="auto"/>
        <w:tabs>
          <w:tab w:leader="none" w:pos="565"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disposition of shares acquired by exercise of an option, the participant shall pay, or make provision adequate to the Company for payment of, all federal, state, and other tax (and similar) withholdings that the Company determines, in its discretion, are required due to the disposition, including any such withholding that the Company determines in its discretion is necessary to allow the Company to claim tax deductions or other benefits in connection with the disposition. A participant shall make such similar provisions for payment that the Company determines, in its discretion, are required due to the exercise of an option, including such provisions as are necessary to allow the Company to claim tax deductions or other benefits in connection with the exercise of the option.</w:t>
      </w:r>
    </w:p>
    <w:p>
      <w:pPr>
        <w:spacing w:after="0" w:line="130" w:lineRule="exact"/>
        <w:rPr>
          <w:rFonts w:ascii="Times New Roman" w:cs="Times New Roman" w:eastAsia="Times New Roman" w:hAnsi="Times New Roman"/>
          <w:sz w:val="17"/>
          <w:szCs w:val="17"/>
          <w:color w:val="auto"/>
        </w:rPr>
      </w:pPr>
    </w:p>
    <w:p>
      <w:pPr>
        <w:ind w:left="480" w:hanging="188"/>
        <w:spacing w:after="0"/>
        <w:tabs>
          <w:tab w:leader="none" w:pos="4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SHARES.</w:t>
      </w:r>
    </w:p>
    <w:p>
      <w:pPr>
        <w:spacing w:after="0" w:line="184" w:lineRule="exact"/>
        <w:rPr>
          <w:rFonts w:ascii="Times New Roman" w:cs="Times New Roman" w:eastAsia="Times New Roman" w:hAnsi="Times New Roman"/>
          <w:sz w:val="18"/>
          <w:szCs w:val="18"/>
          <w:color w:val="auto"/>
        </w:rPr>
      </w:pPr>
    </w:p>
    <w:p>
      <w:pPr>
        <w:jc w:val="both"/>
        <w:ind w:left="320" w:right="379" w:hanging="8"/>
        <w:spacing w:after="0" w:line="256" w:lineRule="auto"/>
        <w:tabs>
          <w:tab w:leader="none" w:pos="56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Trading Day immediately preceding an Enrollment Date (other than the first Enrollment Date), or on such other days as may be established by the Board from time to time prior to an Enrollment Date for all options to be granted on such Enrollment Date (each a “Purchase Date”), the Company shall apply the funds then credited to each participant’s payroll withholdings account to the purchase of whole shares of Common Stock. The cost to the participant for the shares purchased under any option shall be not less than eighty-five percent (85%) of the lower of:</w:t>
      </w:r>
    </w:p>
    <w:p>
      <w:pPr>
        <w:spacing w:after="0" w:line="146" w:lineRule="exact"/>
        <w:rPr>
          <w:rFonts w:ascii="Times New Roman" w:cs="Times New Roman" w:eastAsia="Times New Roman" w:hAnsi="Times New Roman"/>
          <w:sz w:val="18"/>
          <w:szCs w:val="18"/>
          <w:color w:val="auto"/>
        </w:rPr>
      </w:pPr>
    </w:p>
    <w:p>
      <w:pPr>
        <w:ind w:left="560" w:hanging="209"/>
        <w:spacing w:after="0"/>
        <w:tabs>
          <w:tab w:leader="none" w:pos="5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Common Stock on the Enrollment Date for such option; or</w:t>
      </w:r>
    </w:p>
    <w:p>
      <w:pPr>
        <w:spacing w:after="0" w:line="198" w:lineRule="exact"/>
        <w:rPr>
          <w:rFonts w:ascii="Times New Roman" w:cs="Times New Roman" w:eastAsia="Times New Roman" w:hAnsi="Times New Roman"/>
          <w:sz w:val="18"/>
          <w:szCs w:val="18"/>
          <w:color w:val="auto"/>
        </w:rPr>
      </w:pPr>
    </w:p>
    <w:p>
      <w:pPr>
        <w:ind w:left="620" w:hanging="269"/>
        <w:spacing w:after="0"/>
        <w:tabs>
          <w:tab w:leader="none" w:pos="62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Common Stock on the date such option is exercised.</w:t>
      </w:r>
    </w:p>
    <w:p>
      <w:pPr>
        <w:spacing w:after="0" w:line="184" w:lineRule="exact"/>
        <w:rPr>
          <w:rFonts w:ascii="Times New Roman" w:cs="Times New Roman" w:eastAsia="Times New Roman" w:hAnsi="Times New Roman"/>
          <w:sz w:val="18"/>
          <w:szCs w:val="18"/>
          <w:color w:val="auto"/>
        </w:rPr>
      </w:pPr>
    </w:p>
    <w:p>
      <w:pPr>
        <w:ind w:left="320" w:right="859" w:hanging="8"/>
        <w:spacing w:after="0" w:line="266" w:lineRule="auto"/>
        <w:tabs>
          <w:tab w:leader="none" w:pos="57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funds in an amount less than the cost of one share of Common Stock left in a participant’s payroll withholdings account on a Purchase Date shall be carried forward in such account for application on the next Purchase Date.</w:t>
      </w:r>
    </w:p>
    <w:p>
      <w:pPr>
        <w:spacing w:after="0" w:line="135" w:lineRule="exact"/>
        <w:rPr>
          <w:rFonts w:ascii="Times New Roman" w:cs="Times New Roman" w:eastAsia="Times New Roman" w:hAnsi="Times New Roman"/>
          <w:sz w:val="18"/>
          <w:szCs w:val="18"/>
          <w:color w:val="auto"/>
        </w:rPr>
      </w:pPr>
    </w:p>
    <w:p>
      <w:pPr>
        <w:ind w:left="320" w:right="459" w:hanging="8"/>
        <w:spacing w:after="0" w:line="258" w:lineRule="auto"/>
        <w:tabs>
          <w:tab w:leader="none" w:pos="56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Section 9(a), no funds credited to any employee’s payroll withholdings account shall be used to purchase Common Stock on any date prior to the date that the Plan has been approved by the stockholders of the Company, as noted in Section 21. If such approval is not forthcoming within one year from the date that the Plan was approved by the Board of Directors, all amounts withheld shall be distributed to the participants as soon as administratively feasible.</w:t>
      </w:r>
    </w:p>
    <w:p>
      <w:pPr>
        <w:spacing w:after="0" w:line="183" w:lineRule="exact"/>
        <w:rPr>
          <w:rFonts w:ascii="Times New Roman" w:cs="Times New Roman" w:eastAsia="Times New Roman" w:hAnsi="Times New Roman"/>
          <w:sz w:val="18"/>
          <w:szCs w:val="18"/>
          <w:color w:val="auto"/>
        </w:rPr>
      </w:pPr>
    </w:p>
    <w:p>
      <w:pPr>
        <w:jc w:val="both"/>
        <w:ind w:left="300" w:right="339" w:hanging="8"/>
        <w:spacing w:after="0" w:line="281" w:lineRule="auto"/>
        <w:tabs>
          <w:tab w:leader="none" w:pos="57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FROM THE PLAN. A participant may withdraw from the Plan in full (but not in part) at any time, effective after written notice thereof is received by the Company. Unless the Administrator elects to permit a withdrawing participant to invest funds credited to his or her withholding account on the Purchase Date immediately following notice of withdrawal, all funds credited to a participant’s payroll withholdings account shall be distributed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9" w:name="page80"/>
    <w:bookmarkEnd w:id="79"/>
    <w:p>
      <w:pPr>
        <w:jc w:val="both"/>
        <w:ind w:left="300" w:right="659"/>
        <w:spacing w:after="0" w:line="266" w:lineRule="auto"/>
        <w:rPr>
          <w:sz w:val="20"/>
          <w:szCs w:val="20"/>
          <w:color w:val="auto"/>
        </w:rPr>
      </w:pPr>
      <w:r>
        <w:rPr>
          <w:rFonts w:ascii="Times New Roman" w:cs="Times New Roman" w:eastAsia="Times New Roman" w:hAnsi="Times New Roman"/>
          <w:sz w:val="18"/>
          <w:szCs w:val="18"/>
          <w:color w:val="auto"/>
        </w:rPr>
        <w:t>to him or her without interest within sixty (60) days after notice of withdrawal is received by the Company. Any eligible employee who has withdrawn from the Plan may enroll in the Plan again on any subsequent Enrollment Date in accordance with the provisions of Section 6.</w:t>
      </w:r>
    </w:p>
    <w:p>
      <w:pPr>
        <w:spacing w:after="0" w:line="135" w:lineRule="exact"/>
        <w:rPr>
          <w:sz w:val="20"/>
          <w:szCs w:val="20"/>
          <w:color w:val="auto"/>
        </w:rPr>
      </w:pPr>
    </w:p>
    <w:p>
      <w:pPr>
        <w:ind w:left="300" w:right="339" w:hanging="8"/>
        <w:spacing w:after="0" w:line="254" w:lineRule="auto"/>
        <w:tabs>
          <w:tab w:leader="none" w:pos="56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Participation in the Plan terminates immediately when a participant ceases to be employed by the Company for any reason whatsoever (including death or disability) or otherwise becomes ineligible to participate in the Plan. As soon as administratively feasible after termination, the Company shall pay to the participant or his or her beneficiary or legal representative, all amounts credited to the participant’s payroll withholdings account; provided, however, that if a participant ceases to be employed by the Company because of the commencement of employment with a Subsidiary of the Company that is not a Participating Subsidiary, funds then credited to such participant’s payroll withholdings account shall be applied to the purchase of whole shares of Common Stock at the next Purchase Date and any funds remaining after such purchase shall be paid to the participant.</w:t>
      </w:r>
    </w:p>
    <w:p>
      <w:pPr>
        <w:spacing w:after="0" w:line="147" w:lineRule="exact"/>
        <w:rPr>
          <w:rFonts w:ascii="Times New Roman" w:cs="Times New Roman" w:eastAsia="Times New Roman" w:hAnsi="Times New Roman"/>
          <w:sz w:val="18"/>
          <w:szCs w:val="18"/>
          <w:color w:val="auto"/>
        </w:rPr>
      </w:pPr>
    </w:p>
    <w:p>
      <w:pPr>
        <w:ind w:left="560" w:hanging="268"/>
        <w:spacing w:after="0"/>
        <w:tabs>
          <w:tab w:leader="none" w:pos="5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BENEFICIARY.</w:t>
      </w:r>
    </w:p>
    <w:p>
      <w:pPr>
        <w:spacing w:after="0" w:line="198" w:lineRule="exact"/>
        <w:rPr>
          <w:rFonts w:ascii="Times New Roman" w:cs="Times New Roman" w:eastAsia="Times New Roman" w:hAnsi="Times New Roman"/>
          <w:sz w:val="18"/>
          <w:szCs w:val="18"/>
          <w:color w:val="auto"/>
        </w:rPr>
      </w:pPr>
    </w:p>
    <w:p>
      <w:pPr>
        <w:ind w:left="320" w:right="319" w:hanging="8"/>
        <w:spacing w:after="0" w:line="266" w:lineRule="auto"/>
        <w:tabs>
          <w:tab w:leader="none" w:pos="56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may designate one or more beneficiaries in the event of death and may, in his or her sole discretion, change such designation at any time. Any such designation shall be effective upon receipt in written form by the Company and shall control over any disposition by will or otherwise.</w:t>
      </w:r>
    </w:p>
    <w:p>
      <w:pPr>
        <w:spacing w:after="0" w:line="135" w:lineRule="exact"/>
        <w:rPr>
          <w:rFonts w:ascii="Times New Roman" w:cs="Times New Roman" w:eastAsia="Times New Roman" w:hAnsi="Times New Roman"/>
          <w:sz w:val="18"/>
          <w:szCs w:val="18"/>
          <w:color w:val="auto"/>
        </w:rPr>
      </w:pPr>
    </w:p>
    <w:p>
      <w:pPr>
        <w:ind w:left="320" w:right="419" w:hanging="8"/>
        <w:spacing w:after="0" w:line="256" w:lineRule="auto"/>
        <w:tabs>
          <w:tab w:leader="none" w:pos="57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administratively feasible after the death of a participant, amounts credited to his or her account shall be paid in cash to the designated beneficiaries or, in the absence of a designation, to the executor, administrator, or other legal representative of the participant’s estate. Such payment shall relieve the Company of further liability with respect to the Plan on account of the deceased participant. If more than one beneficiary is designated, each beneficiary shall receive an equal portion of the account unless the participant has given express contrary written instructions.</w:t>
      </w:r>
    </w:p>
    <w:p>
      <w:pPr>
        <w:spacing w:after="0" w:line="146" w:lineRule="exact"/>
        <w:rPr>
          <w:rFonts w:ascii="Times New Roman" w:cs="Times New Roman" w:eastAsia="Times New Roman" w:hAnsi="Times New Roman"/>
          <w:sz w:val="18"/>
          <w:szCs w:val="18"/>
          <w:color w:val="auto"/>
        </w:rPr>
      </w:pPr>
    </w:p>
    <w:p>
      <w:pPr>
        <w:ind w:left="560" w:hanging="268"/>
        <w:spacing w:after="0"/>
        <w:tabs>
          <w:tab w:leader="none" w:pos="5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w:t>
      </w:r>
    </w:p>
    <w:p>
      <w:pPr>
        <w:spacing w:after="0" w:line="184" w:lineRule="exact"/>
        <w:rPr>
          <w:rFonts w:ascii="Times New Roman" w:cs="Times New Roman" w:eastAsia="Times New Roman" w:hAnsi="Times New Roman"/>
          <w:sz w:val="18"/>
          <w:szCs w:val="18"/>
          <w:color w:val="auto"/>
        </w:rPr>
      </w:pPr>
    </w:p>
    <w:p>
      <w:pPr>
        <w:ind w:left="320" w:right="399" w:hanging="8"/>
        <w:spacing w:after="0" w:line="258" w:lineRule="auto"/>
        <w:tabs>
          <w:tab w:leader="none" w:pos="56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a participant under the Plan shall not be assignable by such participant, by operation of law or otherwise. No participant may create a lien on any funds, securities, rights, or other property held by the Company for the account of the participant under the Plan, except to the extent that there has been a designation of beneficiaries in accordance with the Plan, and except to the extent permitted by the laws of descent and distribution if beneficiaries have not been designated.</w:t>
      </w:r>
    </w:p>
    <w:p>
      <w:pPr>
        <w:spacing w:after="0" w:line="142" w:lineRule="exact"/>
        <w:rPr>
          <w:rFonts w:ascii="Times New Roman" w:cs="Times New Roman" w:eastAsia="Times New Roman" w:hAnsi="Times New Roman"/>
          <w:sz w:val="18"/>
          <w:szCs w:val="18"/>
          <w:color w:val="auto"/>
        </w:rPr>
      </w:pPr>
    </w:p>
    <w:p>
      <w:pPr>
        <w:ind w:left="320" w:right="419" w:hanging="8"/>
        <w:spacing w:after="0" w:line="261" w:lineRule="auto"/>
        <w:tabs>
          <w:tab w:leader="none" w:pos="57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right to purchase shares under the Plan shall be exercisable only during the participant’s lifetime and only by him or her, except that a participant may direct the Company in the enrollment form to issue share certificates to the participant and his or her spouse in community property, to the participant jointly with one or more other persons with right of survivorship, or to certain forms of trusts approved by the Administrator.</w:t>
      </w:r>
    </w:p>
    <w:p>
      <w:pPr>
        <w:spacing w:after="0" w:line="179" w:lineRule="exact"/>
        <w:rPr>
          <w:rFonts w:ascii="Times New Roman" w:cs="Times New Roman" w:eastAsia="Times New Roman" w:hAnsi="Times New Roman"/>
          <w:sz w:val="18"/>
          <w:szCs w:val="18"/>
          <w:color w:val="auto"/>
        </w:rPr>
      </w:pPr>
    </w:p>
    <w:p>
      <w:pPr>
        <w:ind w:left="300" w:right="359" w:hanging="8"/>
        <w:spacing w:after="0" w:line="255" w:lineRule="auto"/>
        <w:tabs>
          <w:tab w:leader="none" w:pos="57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ASSISTANCE. If the Administrator in its discretion so elects, it may retain a brokerage firm, bank, or other financial institution to assist in the purchase of shares, delivery of reports, or other administrative aspects of the Plan. If the Administrator so elects, each participant shall (unless prohibited by the laws of the nation of his or her employment or residence) be deemed upon enrollment in the Plan to have authorized the establishment of an account on his or her behalf at such institution. Shares purchased by a participant under the Plan shall be held in the account in the name in which the share certificate would otherwise be issued pursuant to Section 13(b).</w:t>
      </w:r>
    </w:p>
    <w:p>
      <w:pPr>
        <w:spacing w:after="0" w:line="161" w:lineRule="exact"/>
        <w:rPr>
          <w:rFonts w:ascii="Times New Roman" w:cs="Times New Roman" w:eastAsia="Times New Roman" w:hAnsi="Times New Roman"/>
          <w:sz w:val="18"/>
          <w:szCs w:val="18"/>
          <w:color w:val="auto"/>
        </w:rPr>
      </w:pPr>
    </w:p>
    <w:p>
      <w:pPr>
        <w:ind w:left="300" w:right="319" w:hanging="8"/>
        <w:spacing w:after="0" w:line="261" w:lineRule="auto"/>
        <w:tabs>
          <w:tab w:leader="none" w:pos="57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All costs and expenses incurred in administering the Plan shall be paid by the Company, except that any stamp duties or transfer taxes applicable to participation in the Plan may be charged to the account of such participant by the Company. Any brokerage fees for the purchase of shares by a participant shall be paid by the Company, but brokerage fees for the resale of shares by a participant shall be borne by the participant.</w:t>
      </w:r>
    </w:p>
    <w:p>
      <w:pPr>
        <w:spacing w:after="0" w:line="139" w:lineRule="exact"/>
        <w:rPr>
          <w:rFonts w:ascii="Times New Roman" w:cs="Times New Roman" w:eastAsia="Times New Roman" w:hAnsi="Times New Roman"/>
          <w:sz w:val="18"/>
          <w:szCs w:val="18"/>
          <w:color w:val="auto"/>
        </w:rPr>
      </w:pPr>
    </w:p>
    <w:p>
      <w:pPr>
        <w:jc w:val="center"/>
        <w:ind w:left="300" w:right="599" w:hanging="8"/>
        <w:spacing w:after="0" w:line="276" w:lineRule="auto"/>
        <w:tabs>
          <w:tab w:leader="none" w:pos="57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EQUAL RIGHTS AND PRIVILEGES. All eligible employees shall have equal rights and privileges with respect to the Plan so that the Plan qualifies as an “employee stock purchase plan” within the meaning of Section</w:t>
      </w:r>
    </w:p>
    <w:p>
      <w:pPr>
        <w:ind w:left="600" w:hanging="308"/>
        <w:spacing w:after="0"/>
        <w:tabs>
          <w:tab w:leader="none" w:pos="6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the related Treasury Regulations. Any provision of the Plan which is inconsistent with Section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0" w:name="page81"/>
    <w:bookmarkEnd w:id="80"/>
    <w:p>
      <w:pPr>
        <w:ind w:left="300" w:right="499"/>
        <w:spacing w:after="0" w:line="282" w:lineRule="auto"/>
        <w:rPr>
          <w:sz w:val="20"/>
          <w:szCs w:val="20"/>
          <w:color w:val="auto"/>
        </w:rPr>
      </w:pPr>
      <w:r>
        <w:rPr>
          <w:rFonts w:ascii="Times New Roman" w:cs="Times New Roman" w:eastAsia="Times New Roman" w:hAnsi="Times New Roman"/>
          <w:sz w:val="18"/>
          <w:szCs w:val="18"/>
          <w:color w:val="auto"/>
        </w:rPr>
        <w:t>423 of the Code shall without further act or amendment by the Company or the Board be reformed to comply with the requirements of Section 423. This Section 16 shall take precedence over all other provisions of the Plan.</w:t>
      </w:r>
    </w:p>
    <w:p>
      <w:pPr>
        <w:spacing w:after="0" w:line="121" w:lineRule="exact"/>
        <w:rPr>
          <w:sz w:val="20"/>
          <w:szCs w:val="20"/>
          <w:color w:val="auto"/>
        </w:rPr>
      </w:pPr>
    </w:p>
    <w:p>
      <w:pPr>
        <w:ind w:left="300" w:right="479" w:hanging="8"/>
        <w:spacing w:after="0" w:line="282" w:lineRule="auto"/>
        <w:tabs>
          <w:tab w:leader="none" w:pos="57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The Plan shall be governed by the substantive laws (excluding the conflict of laws rules) of the State of California.</w:t>
      </w:r>
    </w:p>
    <w:p>
      <w:pPr>
        <w:spacing w:after="0" w:line="134" w:lineRule="exact"/>
        <w:rPr>
          <w:rFonts w:ascii="Times New Roman" w:cs="Times New Roman" w:eastAsia="Times New Roman" w:hAnsi="Times New Roman"/>
          <w:sz w:val="18"/>
          <w:szCs w:val="18"/>
          <w:color w:val="auto"/>
        </w:rPr>
      </w:pPr>
    </w:p>
    <w:p>
      <w:pPr>
        <w:ind w:left="560" w:hanging="268"/>
        <w:spacing w:after="0"/>
        <w:tabs>
          <w:tab w:leader="none" w:pos="5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AND TERMINATION.</w:t>
      </w:r>
    </w:p>
    <w:p>
      <w:pPr>
        <w:spacing w:after="0" w:line="185" w:lineRule="exact"/>
        <w:rPr>
          <w:sz w:val="20"/>
          <w:szCs w:val="20"/>
          <w:color w:val="auto"/>
        </w:rPr>
      </w:pPr>
    </w:p>
    <w:p>
      <w:pPr>
        <w:ind w:left="320" w:right="559" w:hanging="8"/>
        <w:spacing w:after="0" w:line="282" w:lineRule="auto"/>
        <w:tabs>
          <w:tab w:leader="none" w:pos="56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amend, alter, or terminate the Plan at any time, including amendments to outstanding options. No amendment shall require stockholder approval, except:</w:t>
      </w:r>
    </w:p>
    <w:p>
      <w:pPr>
        <w:spacing w:after="0" w:line="121" w:lineRule="exact"/>
        <w:rPr>
          <w:rFonts w:ascii="Times New Roman" w:cs="Times New Roman" w:eastAsia="Times New Roman" w:hAnsi="Times New Roman"/>
          <w:sz w:val="18"/>
          <w:szCs w:val="18"/>
          <w:color w:val="auto"/>
        </w:rPr>
      </w:pPr>
    </w:p>
    <w:p>
      <w:pPr>
        <w:ind w:left="560" w:hanging="209"/>
        <w:spacing w:after="0"/>
        <w:tabs>
          <w:tab w:leader="none" w:pos="5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increase in the number of shares reserved for purchase under the Plan;</w:t>
      </w:r>
    </w:p>
    <w:p>
      <w:pPr>
        <w:spacing w:after="0" w:line="184" w:lineRule="exact"/>
        <w:rPr>
          <w:rFonts w:ascii="Times New Roman" w:cs="Times New Roman" w:eastAsia="Times New Roman" w:hAnsi="Times New Roman"/>
          <w:sz w:val="18"/>
          <w:szCs w:val="18"/>
          <w:color w:val="auto"/>
        </w:rPr>
      </w:pPr>
    </w:p>
    <w:p>
      <w:pPr>
        <w:ind w:left="620" w:hanging="269"/>
        <w:spacing w:after="0"/>
        <w:tabs>
          <w:tab w:leader="none" w:pos="6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for the Plan to comply with Section 423 of the Code;</w:t>
      </w:r>
    </w:p>
    <w:p>
      <w:pPr>
        <w:spacing w:after="0" w:line="184"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other applicable laws, regulations or rules; or</w:t>
      </w:r>
    </w:p>
    <w:p>
      <w:pPr>
        <w:spacing w:after="0" w:line="198"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Board otherwise concludes that stockholder approval is advisable.</w:t>
      </w:r>
    </w:p>
    <w:p>
      <w:pPr>
        <w:spacing w:after="0" w:line="184" w:lineRule="exact"/>
        <w:rPr>
          <w:rFonts w:ascii="Times New Roman" w:cs="Times New Roman" w:eastAsia="Times New Roman" w:hAnsi="Times New Roman"/>
          <w:sz w:val="18"/>
          <w:szCs w:val="18"/>
          <w:color w:val="auto"/>
        </w:rPr>
      </w:pPr>
    </w:p>
    <w:p>
      <w:pPr>
        <w:ind w:left="320" w:right="419" w:hanging="8"/>
        <w:spacing w:after="0" w:line="258" w:lineRule="auto"/>
        <w:tabs>
          <w:tab w:leader="none" w:pos="57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Plan is terminated, the Board may elect to terminate all outstanding options either immediately or upon completion of the purchase of shares on the next Purchase Date, or may elect to permit options to expire in accordance with their terms (and participation to continue through such expiration dates). If the options are terminated prior to expiration, all funds contributed to the Plan that have not been used to purchase shares shall be returned to the participants as soon as administratively feasible.</w:t>
      </w:r>
    </w:p>
    <w:p>
      <w:pPr>
        <w:spacing w:after="0" w:line="142" w:lineRule="exact"/>
        <w:rPr>
          <w:rFonts w:ascii="Times New Roman" w:cs="Times New Roman" w:eastAsia="Times New Roman" w:hAnsi="Times New Roman"/>
          <w:sz w:val="18"/>
          <w:szCs w:val="18"/>
          <w:color w:val="auto"/>
        </w:rPr>
      </w:pPr>
    </w:p>
    <w:p>
      <w:pPr>
        <w:ind w:left="320" w:right="319" w:hanging="8"/>
        <w:spacing w:after="0" w:line="256" w:lineRule="auto"/>
        <w:tabs>
          <w:tab w:leader="none" w:pos="56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sale of all or substantially all of the assets of the Company, or the merger of the Company with or into another corporation, or the dissolution or liquidation of the Company, each option outstanding under the Plan shall be assumed by any purchaser of all or substantially all of the assets of the Company or by a successor by merger to the Company (or the parent company of such purchaser or successor) in compliance with Section 424 of the Code, unless otherwise provided by the Board in its sole discretion, in which event, a Purchase Date shall occur immediately before the effective date of such event.</w:t>
      </w:r>
    </w:p>
    <w:p>
      <w:pPr>
        <w:spacing w:after="0" w:line="187" w:lineRule="exact"/>
        <w:rPr>
          <w:sz w:val="20"/>
          <w:szCs w:val="20"/>
          <w:color w:val="auto"/>
        </w:rPr>
      </w:pPr>
    </w:p>
    <w:p>
      <w:pPr>
        <w:ind w:left="300" w:right="379" w:hanging="8"/>
        <w:spacing w:after="0" w:line="266" w:lineRule="auto"/>
        <w:tabs>
          <w:tab w:leader="none" w:pos="57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AS AN EMPLOYEE. Nothing in the Plan shall be construed to give any person the right to remain in the employ of the Company or to affect the Company’s right to terminate the employment of any person at any time with or without cause.</w:t>
      </w:r>
    </w:p>
    <w:p>
      <w:pPr>
        <w:spacing w:after="0" w:line="135" w:lineRule="exact"/>
        <w:rPr>
          <w:rFonts w:ascii="Times New Roman" w:cs="Times New Roman" w:eastAsia="Times New Roman" w:hAnsi="Times New Roman"/>
          <w:sz w:val="18"/>
          <w:szCs w:val="18"/>
          <w:color w:val="auto"/>
        </w:rPr>
      </w:pPr>
    </w:p>
    <w:p>
      <w:pPr>
        <w:ind w:left="300" w:right="319" w:hanging="8"/>
        <w:spacing w:after="0" w:line="261" w:lineRule="auto"/>
        <w:tabs>
          <w:tab w:leader="none" w:pos="57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AS A SHAREHOLDER; DELIVERY OF CERTIFICATES. Unless otherwise determined by the Board, certificates evidencing shares purchased on any Purchase Date shall be delivered to a participant only if he or she makes a written request to the Administrator. Participants shall be treated as the owners of their shares effective as of the Purchase Date.</w:t>
      </w:r>
    </w:p>
    <w:p>
      <w:pPr>
        <w:spacing w:after="0" w:line="139" w:lineRule="exact"/>
        <w:rPr>
          <w:rFonts w:ascii="Times New Roman" w:cs="Times New Roman" w:eastAsia="Times New Roman" w:hAnsi="Times New Roman"/>
          <w:sz w:val="18"/>
          <w:szCs w:val="18"/>
          <w:color w:val="auto"/>
        </w:rPr>
      </w:pPr>
    </w:p>
    <w:p>
      <w:pPr>
        <w:ind w:left="300" w:right="479" w:hanging="8"/>
        <w:spacing w:after="0" w:line="266" w:lineRule="auto"/>
        <w:tabs>
          <w:tab w:leader="none" w:pos="57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SHAREHOLDER APPROVAL. The Plan was approved by the Board of Directors on March 5, 1997, and by the holders of a majority of the votes cast at a duly held shareholders’ meeting on June 18, 1997, at which a quorum of the voting power of the Company was represented in person or by proxy.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349885</wp:posOffset>
            </wp:positionH>
            <wp:positionV relativeFrom="page">
              <wp:posOffset>114300</wp:posOffset>
            </wp:positionV>
            <wp:extent cx="6849110" cy="8148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49110" cy="814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349885</wp:posOffset>
            </wp:positionH>
            <wp:positionV relativeFrom="page">
              <wp:posOffset>226060</wp:posOffset>
            </wp:positionV>
            <wp:extent cx="6849110" cy="8131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49110" cy="813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1)"/>
      <w:numFmt w:val="lowerRoman"/>
      <w:start w:val="3"/>
    </w:lvl>
  </w:abstractNum>
  <w:abstractNum w:abstractNumId="13">
    <w:nsid w:val="180115BE"/>
    <w:multiLevelType w:val="hybridMultilevel"/>
    <w:lvl w:ilvl="0">
      <w:lvlJc w:val="left"/>
      <w:lvlText w:val="(%1)"/>
      <w:numFmt w:val="lowerRoman"/>
      <w:start w:val="3"/>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1)"/>
      <w:numFmt w:val="decimal"/>
      <w:start w:val="1"/>
    </w:lvl>
  </w:abstractNum>
  <w:abstractNum w:abstractNumId="19">
    <w:nsid w:val="D34B6A8"/>
    <w:multiLevelType w:val="hybridMultilevel"/>
    <w:lvl w:ilvl="0">
      <w:lvlJc w:val="left"/>
      <w:lvlText w:val="(%1)"/>
      <w:numFmt w:val="decimal"/>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decimal"/>
      <w:start w:val="1"/>
    </w:lvl>
  </w:abstractNum>
  <w:abstractNum w:abstractNumId="22">
    <w:nsid w:val="61574095"/>
    <w:multiLevelType w:val="hybridMultilevel"/>
    <w:lvl w:ilvl="0">
      <w:lvlJc w:val="left"/>
      <w:lvlText w:val="(%1)"/>
      <w:numFmt w:val="decimal"/>
      <w:start w:val="1"/>
    </w:lvl>
  </w:abstractNum>
  <w:abstractNum w:abstractNumId="23">
    <w:nsid w:val="7E0C57B1"/>
    <w:multiLevelType w:val="hybridMultilevel"/>
    <w:lvl w:ilvl="0">
      <w:lvlJc w:val="left"/>
      <w:lvlText w:val="(%1)"/>
      <w:numFmt w:val="lowerRoman"/>
      <w:start w:val="1"/>
    </w:lvl>
  </w:abstractNum>
  <w:abstractNum w:abstractNumId="24">
    <w:nsid w:val="77AE35EB"/>
    <w:multiLevelType w:val="hybridMultilevel"/>
    <w:lvl w:ilvl="0">
      <w:lvlJc w:val="left"/>
      <w:lvlText w:val="(%1)"/>
      <w:numFmt w:val="decimal"/>
      <w:start w:val="1"/>
    </w:lvl>
  </w:abstractNum>
  <w:abstractNum w:abstractNumId="25">
    <w:nsid w:val="579BE4F1"/>
    <w:multiLevelType w:val="hybridMultilevel"/>
    <w:lvl w:ilvl="0">
      <w:lvlJc w:val="left"/>
      <w:lvlText w:val="(%1)"/>
      <w:numFmt w:val="decimal"/>
      <w:start w:val="1"/>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decimal"/>
      <w:start w:val="3"/>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decimal"/>
      <w:start w:val="5"/>
    </w:lvl>
  </w:abstractNum>
  <w:abstractNum w:abstractNumId="31">
    <w:nsid w:val="4AD084E9"/>
    <w:multiLevelType w:val="hybridMultilevel"/>
    <w:lvl w:ilvl="0">
      <w:lvlJc w:val="left"/>
      <w:lvlText w:val="(%1)"/>
      <w:numFmt w:val="decimal"/>
      <w:start w:val="1"/>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1)"/>
      <w:numFmt w:val="lowerRoman"/>
      <w:start w:val="1"/>
    </w:lvl>
  </w:abstractNum>
  <w:abstractNum w:abstractNumId="35">
    <w:nsid w:val="100F8FCA"/>
    <w:multiLevelType w:val="hybridMultilevel"/>
    <w:lvl w:ilvl="0">
      <w:lvlJc w:val="left"/>
      <w:lvlText w:val="(%1)"/>
      <w:numFmt w:val="lowerRoman"/>
      <w:start w:val="17"/>
    </w:lvl>
  </w:abstractNum>
  <w:abstractNum w:abstractNumId="36">
    <w:nsid w:val="6590700B"/>
    <w:multiLevelType w:val="hybridMultilevel"/>
    <w:lvl w:ilvl="0">
      <w:lvlJc w:val="left"/>
      <w:lvlText w:val="(%1)"/>
      <w:numFmt w:val="lowerRoman"/>
      <w:start w:val="22"/>
    </w:lvl>
  </w:abstractNum>
  <w:abstractNum w:abstractNumId="37">
    <w:nsid w:val="15014ACB"/>
    <w:multiLevelType w:val="hybridMultilevel"/>
    <w:lvl w:ilvl="0">
      <w:lvlJc w:val="left"/>
      <w:lvlText w:val="(%1)"/>
      <w:numFmt w:val="lowerRoman"/>
      <w:start w:val="24"/>
    </w:lvl>
  </w:abstractNum>
  <w:abstractNum w:abstractNumId="38">
    <w:nsid w:val="5F5E7FD0"/>
    <w:multiLevelType w:val="hybridMultilevel"/>
    <w:lvl w:ilvl="0">
      <w:lvlJc w:val="left"/>
      <w:lvlText w:val="(%1)"/>
      <w:numFmt w:val="decimal"/>
      <w:start w:val="3"/>
    </w:lvl>
  </w:abstractNum>
  <w:abstractNum w:abstractNumId="39">
    <w:nsid w:val="98A3148"/>
    <w:multiLevelType w:val="hybridMultilevel"/>
    <w:lvl w:ilvl="0">
      <w:lvlJc w:val="left"/>
      <w:lvlText w:val="(%1)"/>
      <w:numFmt w:val="lowerLetter"/>
      <w:start w:val="1"/>
    </w:lvl>
  </w:abstractNum>
  <w:abstractNum w:abstractNumId="40">
    <w:nsid w:val="799D0247"/>
    <w:multiLevelType w:val="hybridMultilevel"/>
    <w:lvl w:ilvl="0">
      <w:lvlJc w:val="left"/>
      <w:lvlText w:val="(%1)"/>
      <w:numFmt w:val="lowerRoman"/>
      <w:start w:val="1"/>
    </w:lvl>
  </w:abstractNum>
  <w:abstractNum w:abstractNumId="41">
    <w:nsid w:val="6B94764"/>
    <w:multiLevelType w:val="hybridMultilevel"/>
    <w:lvl w:ilvl="0">
      <w:lvlJc w:val="left"/>
      <w:lvlText w:val="(%1)"/>
      <w:numFmt w:val="lowerLetter"/>
      <w:start w:val="10"/>
    </w:lvl>
  </w:abstractNum>
  <w:abstractNum w:abstractNumId="42">
    <w:nsid w:val="42C296BD"/>
    <w:multiLevelType w:val="hybridMultilevel"/>
    <w:lvl w:ilvl="0">
      <w:lvlJc w:val="left"/>
      <w:lvlText w:val="(%1)"/>
      <w:numFmt w:val="lowerLetter"/>
      <w:start w:val="19"/>
    </w:lvl>
    <w:lvl w:ilvl="1">
      <w:lvlJc w:val="left"/>
      <w:lvlText w:val="%2."/>
      <w:numFmt w:val="lowerRoman"/>
      <w:start w:val="1"/>
    </w:lvl>
  </w:abstractNum>
  <w:abstractNum w:abstractNumId="43">
    <w:nsid w:val="168E121F"/>
    <w:multiLevelType w:val="hybridMultilevel"/>
    <w:lvl w:ilvl="0">
      <w:lvlJc w:val="left"/>
      <w:lvlText w:val="(%1)"/>
      <w:numFmt w:val="lowerLetter"/>
      <w:start w:val="27"/>
    </w:lvl>
  </w:abstractNum>
  <w:abstractNum w:abstractNumId="44">
    <w:nsid w:val="1EBA5D23"/>
    <w:multiLevelType w:val="hybridMultilevel"/>
    <w:lvl w:ilvl="0">
      <w:lvlJc w:val="left"/>
      <w:lvlText w:val="%1"/>
      <w:numFmt w:val="decimal"/>
      <w:start w:val="1"/>
    </w:lvl>
    <w:lvl w:ilvl="1">
      <w:lvlJc w:val="left"/>
      <w:lvlText w:val="(%2)"/>
      <w:numFmt w:val="lowerLetter"/>
      <w:start w:val="30"/>
    </w:lvl>
  </w:abstractNum>
  <w:abstractNum w:abstractNumId="45">
    <w:nsid w:val="661E3F1E"/>
    <w:multiLevelType w:val="hybridMultilevel"/>
    <w:lvl w:ilvl="0">
      <w:lvlJc w:val="left"/>
      <w:lvlText w:val="%1."/>
      <w:numFmt w:val="decimal"/>
      <w:start w:val="3"/>
    </w:lvl>
    <w:lvl w:ilvl="1">
      <w:lvlJc w:val="left"/>
      <w:lvlText w:val="(%2)"/>
      <w:numFmt w:val="lowerLetter"/>
      <w:start w:val="1"/>
    </w:lvl>
  </w:abstractNum>
  <w:abstractNum w:abstractNumId="46">
    <w:nsid w:val="5DC79EA8"/>
    <w:multiLevelType w:val="hybridMultilevel"/>
    <w:lvl w:ilvl="0">
      <w:lvlJc w:val="left"/>
      <w:lvlText w:val="%1"/>
      <w:numFmt w:val="decimal"/>
      <w:start w:val="1"/>
    </w:lvl>
    <w:lvl w:ilvl="1">
      <w:lvlJc w:val="left"/>
      <w:lvlText w:val="(%2)"/>
      <w:numFmt w:val="lowerLetter"/>
      <w:start w:val="2"/>
    </w:lvl>
  </w:abstractNum>
  <w:abstractNum w:abstractNumId="47">
    <w:nsid w:val="540A471C"/>
    <w:multiLevelType w:val="hybridMultilevel"/>
    <w:lvl w:ilvl="0">
      <w:lvlJc w:val="left"/>
      <w:lvlText w:val="%1."/>
      <w:numFmt w:val="decimal"/>
      <w:start w:val="4"/>
    </w:lvl>
    <w:lvl w:ilvl="1">
      <w:lvlJc w:val="left"/>
      <w:lvlText w:val="(%2)"/>
      <w:numFmt w:val="lowerLetter"/>
      <w:start w:val="1"/>
    </w:lvl>
  </w:abstractNum>
  <w:abstractNum w:abstractNumId="48">
    <w:nsid w:val="7BD3EE7B"/>
    <w:multiLevelType w:val="hybridMultilevel"/>
    <w:lvl w:ilvl="0">
      <w:lvlJc w:val="left"/>
      <w:lvlText w:val="%1"/>
      <w:numFmt w:val="lowerLetter"/>
      <w:start w:val="1"/>
    </w:lvl>
    <w:lvl w:ilvl="1">
      <w:lvlJc w:val="left"/>
      <w:lvlText w:val="%2."/>
      <w:numFmt w:val="lowerRoman"/>
      <w:start w:val="2"/>
    </w:lvl>
  </w:abstractNum>
  <w:abstractNum w:abstractNumId="49">
    <w:nsid w:val="51D9C564"/>
    <w:multiLevelType w:val="hybridMultilevel"/>
    <w:lvl w:ilvl="0">
      <w:lvlJc w:val="left"/>
      <w:lvlText w:val="(%1)"/>
      <w:numFmt w:val="lowerLetter"/>
      <w:start w:val="2"/>
    </w:lvl>
    <w:lvl w:ilvl="1">
      <w:lvlJc w:val="left"/>
      <w:lvlText w:val="%2."/>
      <w:numFmt w:val="lowerRoman"/>
      <w:start w:val="1"/>
    </w:lvl>
  </w:abstractNum>
  <w:abstractNum w:abstractNumId="50">
    <w:nsid w:val="613EFDC5"/>
    <w:multiLevelType w:val="hybridMultilevel"/>
    <w:lvl w:ilvl="0">
      <w:lvlJc w:val="left"/>
      <w:lvlText w:val="%1."/>
      <w:numFmt w:val="lowerRoman"/>
      <w:start w:val="2"/>
    </w:lvl>
    <w:lvl w:ilvl="1">
      <w:lvlJc w:val="left"/>
      <w:lvlText w:val="%2."/>
      <w:numFmt w:val="lowerRoman"/>
      <w:start w:val="3"/>
    </w:lvl>
  </w:abstractNum>
  <w:abstractNum w:abstractNumId="51">
    <w:nsid w:val="BF72B14"/>
    <w:multiLevelType w:val="hybridMultilevel"/>
    <w:lvl w:ilvl="0">
      <w:lvlJc w:val="left"/>
      <w:lvlText w:val="%1."/>
      <w:numFmt w:val="lowerRoman"/>
      <w:start w:val="6"/>
    </w:lvl>
  </w:abstractNum>
  <w:abstractNum w:abstractNumId="52">
    <w:nsid w:val="11447B73"/>
    <w:multiLevelType w:val="hybridMultilevel"/>
    <w:lvl w:ilvl="0">
      <w:lvlJc w:val="left"/>
      <w:lvlText w:val="%1"/>
      <w:numFmt w:val="lowerLetter"/>
      <w:start w:val="1"/>
    </w:lvl>
    <w:lvl w:ilvl="1">
      <w:lvlJc w:val="left"/>
      <w:lvlText w:val="%2."/>
      <w:numFmt w:val="lowerRoman"/>
      <w:start w:val="16"/>
    </w:lvl>
  </w:abstractNum>
  <w:abstractNum w:abstractNumId="53">
    <w:nsid w:val="42963E5A"/>
    <w:multiLevelType w:val="hybridMultilevel"/>
    <w:lvl w:ilvl="0">
      <w:lvlJc w:val="left"/>
      <w:lvlText w:val="(%1)"/>
      <w:numFmt w:val="lowerLetter"/>
      <w:start w:val="3"/>
    </w:lvl>
    <w:lvl w:ilvl="1">
      <w:lvlJc w:val="left"/>
      <w:lvlText w:val="%2"/>
      <w:numFmt w:val="lowerRoman"/>
      <w:start w:val="1"/>
    </w:lvl>
  </w:abstractNum>
  <w:abstractNum w:abstractNumId="54">
    <w:nsid w:val="A0382C5"/>
    <w:multiLevelType w:val="hybridMultilevel"/>
    <w:lvl w:ilvl="0">
      <w:lvlJc w:val="left"/>
      <w:lvlText w:val="(%1)"/>
      <w:numFmt w:val="lowerLetter"/>
      <w:start w:val="1"/>
    </w:lvl>
  </w:abstractNum>
  <w:abstractNum w:abstractNumId="55">
    <w:nsid w:val="8F2B15E"/>
    <w:multiLevelType w:val="hybridMultilevel"/>
    <w:lvl w:ilvl="0">
      <w:lvlJc w:val="left"/>
      <w:lvlText w:val="%1"/>
      <w:numFmt w:val="lowerLetter"/>
      <w:start w:val="1"/>
    </w:lvl>
    <w:lvl w:ilvl="1">
      <w:lvlJc w:val="left"/>
      <w:lvlText w:val="%2."/>
      <w:numFmt w:val="lowerRoman"/>
      <w:start w:val="2"/>
    </w:lvl>
  </w:abstractNum>
  <w:abstractNum w:abstractNumId="56">
    <w:nsid w:val="1A32234B"/>
    <w:multiLevelType w:val="hybridMultilevel"/>
    <w:lvl w:ilvl="0">
      <w:lvlJc w:val="left"/>
      <w:lvlText w:val="(%1)"/>
      <w:numFmt w:val="lowerLetter"/>
      <w:start w:val="3"/>
    </w:lvl>
    <w:lvl w:ilvl="1">
      <w:lvlJc w:val="left"/>
      <w:lvlText w:val="%2."/>
      <w:numFmt w:val="lowerRoman"/>
      <w:start w:val="1"/>
    </w:lvl>
  </w:abstractNum>
  <w:abstractNum w:abstractNumId="57">
    <w:nsid w:val="3B0FD379"/>
    <w:multiLevelType w:val="hybridMultilevel"/>
    <w:lvl w:ilvl="0">
      <w:lvlJc w:val="left"/>
      <w:lvlText w:val="%1"/>
      <w:numFmt w:val="lowerLetter"/>
      <w:start w:val="1"/>
    </w:lvl>
    <w:lvl w:ilvl="1">
      <w:lvlJc w:val="left"/>
      <w:lvlText w:val="%2."/>
      <w:numFmt w:val="lowerRoman"/>
      <w:start w:val="6"/>
    </w:lvl>
  </w:abstractNum>
  <w:abstractNum w:abstractNumId="58">
    <w:nsid w:val="68EB2F63"/>
    <w:multiLevelType w:val="hybridMultilevel"/>
    <w:lvl w:ilvl="0">
      <w:lvlJc w:val="left"/>
      <w:lvlText w:val="(%1)"/>
      <w:numFmt w:val="lowerLetter"/>
      <w:start w:val="5"/>
    </w:lvl>
    <w:lvl w:ilvl="1">
      <w:lvlJc w:val="left"/>
      <w:lvlText w:val="%2"/>
      <w:numFmt w:val="lowerRoman"/>
      <w:start w:val="1"/>
    </w:lvl>
  </w:abstractNum>
  <w:abstractNum w:abstractNumId="59">
    <w:nsid w:val="4962813B"/>
    <w:multiLevelType w:val="hybridMultilevel"/>
    <w:lvl w:ilvl="0">
      <w:lvlJc w:val="left"/>
      <w:lvlText w:val="%1."/>
      <w:numFmt w:val="decimal"/>
      <w:start w:val="9"/>
    </w:lvl>
    <w:lvl w:ilvl="1">
      <w:lvlJc w:val="left"/>
      <w:lvlText w:val="(%2)"/>
      <w:numFmt w:val="lowerLetter"/>
      <w:start w:val="1"/>
    </w:lvl>
  </w:abstractNum>
  <w:abstractNum w:abstractNumId="60">
    <w:nsid w:val="60B6DF70"/>
    <w:multiLevelType w:val="hybridMultilevel"/>
    <w:lvl w:ilvl="0">
      <w:lvlJc w:val="left"/>
      <w:lvlText w:val="%1"/>
      <w:numFmt w:val="decimal"/>
      <w:start w:val="1"/>
    </w:lvl>
    <w:lvl w:ilvl="1">
      <w:lvlJc w:val="left"/>
      <w:lvlText w:val="(%2)"/>
      <w:numFmt w:val="lowerLetter"/>
      <w:start w:val="4"/>
    </w:lvl>
  </w:abstractNum>
  <w:abstractNum w:abstractNumId="61">
    <w:nsid w:val="6A5EE64"/>
    <w:multiLevelType w:val="hybridMultilevel"/>
    <w:lvl w:ilvl="0">
      <w:lvlJc w:val="left"/>
      <w:lvlText w:val="%1."/>
      <w:numFmt w:val="decimal"/>
      <w:start w:val="10"/>
    </w:lvl>
    <w:lvl w:ilvl="1">
      <w:lvlJc w:val="left"/>
      <w:lvlText w:val="(%2)"/>
      <w:numFmt w:val="lowerLetter"/>
      <w:start w:val="1"/>
    </w:lvl>
  </w:abstractNum>
  <w:abstractNum w:abstractNumId="62">
    <w:nsid w:val="14330624"/>
    <w:multiLevelType w:val="hybridMultilevel"/>
    <w:lvl w:ilvl="0">
      <w:lvlJc w:val="left"/>
      <w:lvlText w:val="%1"/>
      <w:numFmt w:val="lowerLetter"/>
      <w:start w:val="1"/>
    </w:lvl>
    <w:lvl w:ilvl="1">
      <w:lvlJc w:val="left"/>
      <w:lvlText w:val="(%2)"/>
      <w:numFmt w:val="lowerLetter"/>
      <w:start w:val="4"/>
    </w:lvl>
  </w:abstractNum>
  <w:abstractNum w:abstractNumId="63">
    <w:nsid w:val="7FFFCA11"/>
    <w:multiLevelType w:val="hybridMultilevel"/>
    <w:lvl w:ilvl="0">
      <w:lvlJc w:val="left"/>
      <w:lvlText w:val="(%1)"/>
      <w:numFmt w:val="lowerLetter"/>
      <w:start w:val="5"/>
    </w:lvl>
    <w:lvl w:ilvl="1">
      <w:lvlJc w:val="left"/>
      <w:lvlText w:val="%2"/>
      <w:numFmt w:val="lowerLetter"/>
      <w:start w:val="1"/>
    </w:lvl>
  </w:abstractNum>
  <w:abstractNum w:abstractNumId="64">
    <w:nsid w:val="1A27709E"/>
    <w:multiLevelType w:val="hybridMultilevel"/>
    <w:lvl w:ilvl="0">
      <w:lvlJc w:val="left"/>
      <w:lvlText w:val="%1."/>
      <w:numFmt w:val="decimal"/>
      <w:start w:val="11"/>
    </w:lvl>
    <w:lvl w:ilvl="1">
      <w:lvlJc w:val="left"/>
      <w:lvlText w:val="(%2)"/>
      <w:numFmt w:val="lowerLetter"/>
      <w:start w:val="1"/>
    </w:lvl>
  </w:abstractNum>
  <w:abstractNum w:abstractNumId="65">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6">
    <w:nsid w:val="100F59D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7">
    <w:nsid w:val="7FB7E0A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8">
    <w:nsid w:val="6EB5BD4"/>
    <w:multiLevelType w:val="hybridMultilevel"/>
    <w:lvl w:ilvl="0">
      <w:lvlJc w:val="left"/>
      <w:lvlText w:val="%1."/>
      <w:numFmt w:val="lowerRoman"/>
      <w:start w:val="2"/>
    </w:lvl>
  </w:abstractNum>
  <w:abstractNum w:abstractNumId="69">
    <w:nsid w:val="6F6DD9AC"/>
    <w:multiLevelType w:val="hybridMultilevel"/>
    <w:lvl w:ilvl="0">
      <w:lvlJc w:val="left"/>
      <w:lvlText w:val="(%1)"/>
      <w:numFmt w:val="lowerLetter"/>
      <w:start w:val="1"/>
    </w:lvl>
  </w:abstractNum>
  <w:abstractNum w:abstractNumId="70">
    <w:nsid w:val="94211F2"/>
    <w:multiLevelType w:val="hybridMultilevel"/>
    <w:lvl w:ilvl="0">
      <w:lvlJc w:val="left"/>
      <w:lvlText w:val="%1"/>
      <w:numFmt w:val="decimal"/>
      <w:start w:val="1"/>
    </w:lvl>
    <w:lvl w:ilvl="1">
      <w:lvlJc w:val="left"/>
      <w:lvlText w:val="(%2)"/>
      <w:numFmt w:val="lowerLetter"/>
      <w:start w:val="3"/>
    </w:lvl>
  </w:abstractNum>
  <w:abstractNum w:abstractNumId="71">
    <w:nsid w:val="885E1B"/>
    <w:multiLevelType w:val="hybridMultilevel"/>
    <w:lvl w:ilvl="0">
      <w:lvlJc w:val="left"/>
      <w:lvlText w:val="%1."/>
      <w:numFmt w:val="decimal"/>
      <w:start w:val="14"/>
    </w:lvl>
    <w:lvl w:ilvl="1">
      <w:lvlJc w:val="left"/>
      <w:lvlText w:val="(%2)"/>
      <w:numFmt w:val="lowerLetter"/>
      <w:start w:val="1"/>
    </w:lvl>
  </w:abstractNum>
  <w:abstractNum w:abstractNumId="72">
    <w:nsid w:val="76272110"/>
    <w:multiLevelType w:val="hybridMultilevel"/>
    <w:lvl w:ilvl="0">
      <w:lvlJc w:val="left"/>
      <w:lvlText w:val="%1"/>
      <w:numFmt w:val="decimal"/>
      <w:start w:val="1"/>
    </w:lvl>
    <w:lvl w:ilvl="1">
      <w:lvlJc w:val="left"/>
      <w:lvlText w:val="(%2)"/>
      <w:numFmt w:val="lowerLetter"/>
      <w:start w:val="2"/>
    </w:lvl>
  </w:abstractNum>
  <w:abstractNum w:abstractNumId="73">
    <w:nsid w:val="4C04A8AF"/>
    <w:multiLevelType w:val="hybridMultilevel"/>
    <w:lvl w:ilvl="0">
      <w:lvlJc w:val="left"/>
      <w:lvlText w:val="%1."/>
      <w:numFmt w:val="decimal"/>
      <w:start w:val="15"/>
    </w:lvl>
    <w:lvl w:ilvl="1">
      <w:lvlJc w:val="left"/>
      <w:lvlText w:val="(%2)"/>
      <w:numFmt w:val="lowerLetter"/>
      <w:start w:val="1"/>
    </w:lvl>
  </w:abstractNum>
  <w:abstractNum w:abstractNumId="74">
    <w:nsid w:val="1716703B"/>
    <w:multiLevelType w:val="hybridMultilevel"/>
    <w:lvl w:ilvl="0">
      <w:lvlJc w:val="left"/>
      <w:lvlText w:val="%1"/>
      <w:numFmt w:val="lowerLetter"/>
      <w:start w:val="1"/>
    </w:lvl>
    <w:lvl w:ilvl="1">
      <w:lvlJc w:val="left"/>
      <w:lvlText w:val="%2."/>
      <w:numFmt w:val="lowerRoman"/>
      <w:start w:val="2"/>
    </w:lvl>
  </w:abstractNum>
  <w:abstractNum w:abstractNumId="75">
    <w:nsid w:val="14E17E33"/>
    <w:multiLevelType w:val="hybridMultilevel"/>
    <w:lvl w:ilvl="0">
      <w:lvlJc w:val="left"/>
      <w:lvlText w:val="(%1)"/>
      <w:numFmt w:val="lowerLetter"/>
      <w:start w:val="2"/>
    </w:lvl>
    <w:lvl w:ilvl="1">
      <w:lvlJc w:val="left"/>
      <w:lvlText w:val="%2"/>
      <w:numFmt w:val="lowerRoman"/>
      <w:start w:val="1"/>
    </w:lvl>
  </w:abstractNum>
  <w:abstractNum w:abstractNumId="76">
    <w:nsid w:val="3222E7CD"/>
    <w:multiLevelType w:val="hybridMultilevel"/>
    <w:lvl w:ilvl="0">
      <w:lvlJc w:val="left"/>
      <w:lvlText w:val="(%1)"/>
      <w:numFmt w:val="lowerLetter"/>
      <w:start w:val="1"/>
    </w:lvl>
  </w:abstractNum>
  <w:abstractNum w:abstractNumId="77">
    <w:nsid w:val="74DE0EE3"/>
    <w:multiLevelType w:val="hybridMultilevel"/>
    <w:lvl w:ilvl="0">
      <w:lvlJc w:val="left"/>
      <w:lvlText w:val="(%1)"/>
      <w:numFmt w:val="lowerLetter"/>
      <w:start w:val="1"/>
    </w:lvl>
  </w:abstractNum>
  <w:abstractNum w:abstractNumId="78">
    <w:nsid w:val="68EBC550"/>
    <w:multiLevelType w:val="hybridMultilevel"/>
    <w:lvl w:ilvl="0">
      <w:lvlJc w:val="left"/>
      <w:lvlText w:val="%1"/>
      <w:numFmt w:val="decimal"/>
      <w:start w:val="1"/>
    </w:lvl>
    <w:lvl w:ilvl="1">
      <w:lvlJc w:val="left"/>
      <w:lvlText w:val="(%2)"/>
      <w:numFmt w:val="lowerLetter"/>
      <w:start w:val="4"/>
    </w:lvl>
  </w:abstractNum>
  <w:abstractNum w:abstractNumId="79">
    <w:nsid w:val="2DF6D648"/>
    <w:multiLevelType w:val="hybridMultilevel"/>
    <w:lvl w:ilvl="0">
      <w:lvlJc w:val="left"/>
      <w:lvlText w:val="%1."/>
      <w:numFmt w:val="decimal"/>
      <w:start w:val="22"/>
    </w:lvl>
    <w:lvl w:ilvl="1">
      <w:lvlJc w:val="left"/>
      <w:lvlText w:val="%2"/>
      <w:numFmt w:val="lowerLetter"/>
      <w:start w:val="1"/>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decimal"/>
      <w:start w:val="1"/>
    </w:lvl>
    <w:lvl w:ilvl="1">
      <w:lvlJc w:val="left"/>
      <w:lvlText w:val="(%2)"/>
      <w:numFmt w:val="lowerLetter"/>
      <w:start w:val="1"/>
    </w:lvl>
  </w:abstractNum>
  <w:abstractNum w:abstractNumId="82">
    <w:nsid w:val="39EE015C"/>
    <w:multiLevelType w:val="hybridMultilevel"/>
    <w:lvl w:ilvl="0">
      <w:lvlJc w:val="left"/>
      <w:lvlText w:val="(%1)"/>
      <w:numFmt w:val="lowerLetter"/>
      <w:start w:val="14"/>
    </w:lvl>
  </w:abstractNum>
  <w:abstractNum w:abstractNumId="83">
    <w:nsid w:val="57FC4FBB"/>
    <w:multiLevelType w:val="hybridMultilevel"/>
    <w:lvl w:ilvl="0">
      <w:lvlJc w:val="left"/>
      <w:lvlText w:val="(%1)"/>
      <w:numFmt w:val="lowerLetter"/>
      <w:start w:val="1"/>
    </w:lvl>
    <w:lvl w:ilvl="1">
      <w:lvlJc w:val="left"/>
      <w:lvlText w:val="(%2)"/>
      <w:numFmt w:val="lowerLetter"/>
      <w:start w:val="2"/>
    </w:lvl>
  </w:abstractNum>
  <w:abstractNum w:abstractNumId="84">
    <w:nsid w:val="CC1016F"/>
    <w:multiLevelType w:val="hybridMultilevel"/>
    <w:lvl w:ilvl="0">
      <w:lvlJc w:val="left"/>
      <w:lvlText w:val="(%1)"/>
      <w:numFmt w:val="lowerLetter"/>
      <w:start w:val="1"/>
    </w:lvl>
    <w:lvl w:ilvl="1">
      <w:lvlJc w:val="left"/>
      <w:lvlText w:val="(%2)"/>
      <w:numFmt w:val="lowerLetter"/>
      <w:start w:val="2"/>
    </w:lvl>
  </w:abstractNum>
  <w:abstractNum w:abstractNumId="85">
    <w:nsid w:val="43F1842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6">
    <w:nsid w:val="60EF0119"/>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2"/>
    </w:lvl>
  </w:abstractNum>
  <w:abstractNum w:abstractNumId="87">
    <w:nsid w:val="26F324B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8">
    <w:nsid w:val="7F01579B"/>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2"/>
    </w:lvl>
  </w:abstractNum>
  <w:abstractNum w:abstractNumId="89">
    <w:nsid w:val="49DA307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90">
    <w:nsid w:val="7055A5F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1">
    <w:nsid w:val="5FB8370B"/>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2"/>
    </w:lvl>
  </w:abstractNum>
  <w:abstractNum w:abstractNumId="92">
    <w:nsid w:val="50801EE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3">
    <w:nsid w:val="488AC1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4">
    <w:nsid w:val="5FB8011C"/>
    <w:multiLevelType w:val="hybridMultilevel"/>
    <w:lvl w:ilvl="0">
      <w:lvlJc w:val="left"/>
      <w:lvlText w:val="%1."/>
      <w:numFmt w:val="decimal"/>
      <w:start w:val="11"/>
    </w:lvl>
    <w:lvl w:ilvl="1">
      <w:lvlJc w:val="left"/>
      <w:lvlText w:val="(%2)"/>
      <w:numFmt w:val="lowerLetter"/>
      <w:start w:val="1"/>
    </w:lvl>
  </w:abstractNum>
  <w:abstractNum w:abstractNumId="95">
    <w:nsid w:val="6AA78F7F"/>
    <w:multiLevelType w:val="hybridMultilevel"/>
    <w:lvl w:ilvl="0">
      <w:lvlJc w:val="left"/>
      <w:lvlText w:val="%1"/>
      <w:numFmt w:val="decimal"/>
      <w:start w:val="423"/>
    </w:lvl>
    <w:lvl w:ilvl="1">
      <w:lvlJc w:val="left"/>
      <w:lvlText w:val="%2"/>
      <w:numFmt w:val="lowerLetter"/>
      <w:start w:val="1"/>
    </w:lvl>
  </w:abstractNum>
  <w:abstractNum w:abstractNumId="96">
    <w:nsid w:val="7672BD23"/>
    <w:multiLevelType w:val="hybridMultilevel"/>
    <w:lvl w:ilvl="0">
      <w:lvlJc w:val="left"/>
      <w:lvlText w:val="%1."/>
      <w:numFmt w:val="decimal"/>
      <w:start w:val="17"/>
    </w:lvl>
  </w:abstractNum>
  <w:abstractNum w:abstractNumId="97">
    <w:nsid w:val="6FC75AF8"/>
    <w:multiLevelType w:val="hybridMultilevel"/>
    <w:lvl w:ilvl="0">
      <w:lvlJc w:val="left"/>
      <w:lvlText w:val="(%1)"/>
      <w:numFmt w:val="lowerLetter"/>
      <w:start w:val="1"/>
    </w:lvl>
    <w:lvl w:ilvl="1">
      <w:lvlJc w:val="left"/>
      <w:lvlText w:val="%2"/>
      <w:numFmt w:val="lowerRoman"/>
      <w:start w:val="1"/>
    </w:lvl>
  </w:abstractNum>
  <w:abstractNum w:abstractNumId="98">
    <w:nsid w:val="6A5F7029"/>
    <w:multiLevelType w:val="hybridMultilevel"/>
    <w:lvl w:ilvl="0">
      <w:lvlJc w:val="left"/>
      <w:lvlText w:val="(%1)"/>
      <w:numFmt w:val="lowerLetter"/>
      <w:start w:val="9"/>
    </w:lvl>
    <w:lvl w:ilvl="1">
      <w:lvlJc w:val="left"/>
      <w:lvlText w:val="(%2)"/>
      <w:numFmt w:val="lowerRoman"/>
      <w:start w:val="2"/>
    </w:lvl>
  </w:abstractNum>
  <w:abstractNum w:abstractNumId="99">
    <w:nsid w:val="7D5E18F8"/>
    <w:multiLevelType w:val="hybridMultilevel"/>
    <w:lvl w:ilvl="0">
      <w:lvlJc w:val="left"/>
      <w:lvlText w:val="(%1)"/>
      <w:numFmt w:val="lowerLetter"/>
      <w:start w:val="2"/>
    </w:lvl>
    <w:lvl w:ilvl="1">
      <w:lvlJc w:val="left"/>
      <w:lvlText w:val="%2"/>
      <w:numFmt w:val="lowerRoman"/>
      <w:start w:val="1"/>
    </w:lvl>
  </w:abstractNum>
  <w:abstractNum w:abstractNumId="100">
    <w:nsid w:val="5F3534A4"/>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2023-05-01T08:08:18Z</dcterms:created>
  <dcterms:modified xsi:type="dcterms:W3CDTF">2023-05-01T08:08:18Z</dcterms:modified>
</cp:coreProperties>
</file>