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13" w:lineRule="exact"/>
        <w:rPr>
          <w:sz w:val="24"/>
          <w:szCs w:val="24"/>
          <w:color w:val="auto"/>
        </w:rPr>
      </w:pPr>
    </w:p>
    <w:p>
      <w:pPr>
        <w:ind w:left="4180" w:right="3420" w:hanging="4125"/>
        <w:spacing w:after="0" w:line="261" w:lineRule="auto"/>
        <w:tabs>
          <w:tab w:leader="none" w:pos="344"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ind w:left="340" w:hanging="285"/>
        <w:spacing w:after="0" w:line="200" w:lineRule="auto"/>
        <w:tabs>
          <w:tab w:leader="none" w:pos="340" w:val="left"/>
        </w:tabs>
        <w:numPr>
          <w:ilvl w:val="0"/>
          <w:numId w:val="2"/>
        </w:numPr>
        <w:rPr>
          <w:rFonts w:ascii="MS PGothic" w:cs="MS PGothic" w:eastAsia="MS PGothic" w:hAnsi="MS PGothic"/>
          <w:sz w:val="7"/>
          <w:szCs w:val="7"/>
          <w:color w:val="auto"/>
        </w:rPr>
      </w:pPr>
      <w:r>
        <w:rPr>
          <w:rFonts w:ascii="Arial" w:cs="Arial" w:eastAsia="Arial" w:hAnsi="Arial"/>
          <w:sz w:val="7"/>
          <w:szCs w:val="7"/>
          <w:b w:val="1"/>
          <w:bCs w:val="1"/>
          <w:color w:val="auto"/>
        </w:rPr>
        <w:t>TRANSITION REPORT PURSUANT TO SECTION 13 OR 15(d) OF THE SECURITIES EXCHANGE ACT OF 1934</w:t>
      </w:r>
    </w:p>
    <w:p>
      <w:pPr>
        <w:spacing w:after="0" w:line="165" w:lineRule="exact"/>
        <w:rPr>
          <w:sz w:val="24"/>
          <w:szCs w:val="24"/>
          <w:color w:val="auto"/>
        </w:rPr>
      </w:pPr>
    </w:p>
    <w:p>
      <w:pPr>
        <w:ind w:left="340"/>
        <w:spacing w:after="0"/>
        <w:tabs>
          <w:tab w:leader="none" w:pos="26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001-33221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HERON THERAPEUTICS,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337" w:right="339" w:bottom="1440" w:gutter="0" w:footer="0" w:header="0"/>
        </w:sectPr>
      </w:pPr>
    </w:p>
    <w:p>
      <w:pPr>
        <w:spacing w:after="0" w:line="52" w:lineRule="exact"/>
        <w:rPr>
          <w:sz w:val="24"/>
          <w:szCs w:val="24"/>
          <w:color w:val="auto"/>
        </w:rPr>
      </w:pPr>
    </w:p>
    <w:p>
      <w:pPr>
        <w:ind w:left="2360"/>
        <w:spacing w:after="0"/>
        <w:rPr>
          <w:sz w:val="20"/>
          <w:szCs w:val="20"/>
          <w:color w:val="auto"/>
        </w:rPr>
      </w:pPr>
      <w:r>
        <w:rPr>
          <w:rFonts w:ascii="Arial" w:cs="Arial" w:eastAsia="Arial" w:hAnsi="Arial"/>
          <w:sz w:val="15"/>
          <w:szCs w:val="15"/>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94-2875566</w:t>
      </w:r>
    </w:p>
    <w:p>
      <w:pPr>
        <w:spacing w:after="0" w:line="49" w:lineRule="exact"/>
        <w:rPr>
          <w:sz w:val="24"/>
          <w:szCs w:val="24"/>
          <w:color w:val="auto"/>
        </w:rPr>
      </w:pPr>
    </w:p>
    <w:p>
      <w:pPr>
        <w:sectPr>
          <w:pgSz w:w="11900" w:h="16838" w:orient="portrait"/>
          <w:cols w:equalWidth="0" w:num="2">
            <w:col w:w="7360" w:space="720"/>
            <w:col w:w="3160"/>
          </w:cols>
          <w:pgMar w:left="320" w:top="337" w:right="3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59" w:lineRule="exact"/>
        <w:rPr>
          <w:sz w:val="24"/>
          <w:szCs w:val="24"/>
          <w:color w:val="auto"/>
        </w:rPr>
      </w:pPr>
    </w:p>
    <w:p>
      <w:pPr>
        <w:sectPr>
          <w:pgSz w:w="11900" w:h="16838" w:orient="portrait"/>
          <w:cols w:equalWidth="0" w:num="2">
            <w:col w:w="6720" w:space="720"/>
            <w:col w:w="3800"/>
          </w:cols>
          <w:pgMar w:left="320" w:top="337" w:right="339" w:bottom="1440" w:gutter="0" w:footer="0" w:header="0"/>
          <w:type w:val="continuous"/>
        </w:sectPr>
      </w:pPr>
    </w:p>
    <w:p>
      <w:pPr>
        <w:jc w:val="center"/>
        <w:ind w:right="1820"/>
        <w:spacing w:after="0"/>
        <w:rPr>
          <w:sz w:val="20"/>
          <w:szCs w:val="20"/>
          <w:color w:val="auto"/>
        </w:rPr>
      </w:pPr>
      <w:r>
        <w:rPr>
          <w:rFonts w:ascii="Arial" w:cs="Arial" w:eastAsia="Arial" w:hAnsi="Arial"/>
          <w:sz w:val="15"/>
          <w:szCs w:val="15"/>
          <w:b w:val="1"/>
          <w:bCs w:val="1"/>
          <w:color w:val="auto"/>
        </w:rPr>
        <w:t>4242 CAMPUS POINT COURT, SUITE 200</w:t>
      </w:r>
    </w:p>
    <w:p>
      <w:pPr>
        <w:spacing w:after="0" w:line="38"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SAN DIEGO, CA</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6"/>
          <w:szCs w:val="16"/>
          <w:b w:val="1"/>
          <w:bCs w:val="1"/>
          <w:color w:val="auto"/>
        </w:rPr>
        <w:t>92121</w:t>
      </w:r>
    </w:p>
    <w:p>
      <w:pPr>
        <w:spacing w:after="0" w:line="26" w:lineRule="exact"/>
        <w:rPr>
          <w:sz w:val="24"/>
          <w:szCs w:val="24"/>
          <w:color w:val="auto"/>
        </w:rPr>
      </w:pPr>
    </w:p>
    <w:p>
      <w:pPr>
        <w:jc w:val="center"/>
        <w:ind w:right="2420"/>
        <w:spacing w:after="0"/>
        <w:rPr>
          <w:sz w:val="20"/>
          <w:szCs w:val="20"/>
          <w:color w:val="auto"/>
        </w:rPr>
      </w:pPr>
      <w:r>
        <w:rPr>
          <w:rFonts w:ascii="Arial" w:cs="Arial" w:eastAsia="Arial" w:hAnsi="Arial"/>
          <w:sz w:val="14"/>
          <w:szCs w:val="14"/>
          <w:i w:val="1"/>
          <w:iCs w:val="1"/>
          <w:color w:val="auto"/>
        </w:rPr>
        <w:t>(Zip Code)</w:t>
      </w:r>
    </w:p>
    <w:p>
      <w:pPr>
        <w:spacing w:after="0" w:line="41" w:lineRule="exact"/>
        <w:rPr>
          <w:sz w:val="24"/>
          <w:szCs w:val="24"/>
          <w:color w:val="auto"/>
        </w:rPr>
      </w:pPr>
    </w:p>
    <w:p>
      <w:pPr>
        <w:sectPr>
          <w:pgSz w:w="11900" w:h="16838" w:orient="portrait"/>
          <w:cols w:equalWidth="0" w:num="2">
            <w:col w:w="7400" w:space="720"/>
            <w:col w:w="3120"/>
          </w:cols>
          <w:pgMar w:left="320" w:top="337" w:right="339" w:bottom="1440" w:gutter="0" w:footer="0" w:header="0"/>
          <w:type w:val="continuous"/>
        </w:sectPr>
      </w:pPr>
    </w:p>
    <w:p>
      <w:pPr>
        <w:ind w:left="1660"/>
        <w:spacing w:after="0"/>
        <w:rPr>
          <w:sz w:val="20"/>
          <w:szCs w:val="20"/>
          <w:color w:val="auto"/>
        </w:rPr>
      </w:pPr>
      <w:r>
        <w:rPr>
          <w:rFonts w:ascii="Arial" w:cs="Arial" w:eastAsia="Arial" w:hAnsi="Arial"/>
          <w:sz w:val="13"/>
          <w:szCs w:val="13"/>
          <w:i w:val="1"/>
          <w:iCs w:val="1"/>
          <w:color w:val="auto"/>
        </w:rPr>
        <w:t>(Address of principal executive offices)</w:t>
      </w:r>
    </w:p>
    <w:p>
      <w:pPr>
        <w:sectPr>
          <w:pgSz w:w="11900" w:h="16838" w:orient="portrait"/>
          <w:cols w:equalWidth="0" w:num="1">
            <w:col w:w="11240"/>
          </w:cols>
          <w:pgMar w:left="320" w:top="337" w:right="339" w:bottom="1440" w:gutter="0" w:footer="0" w:header="0"/>
          <w:type w:val="continuous"/>
        </w:sectPr>
      </w:pP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(858) 251-4400</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5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Title of each class</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Trading Symbol(s)</w:t>
            </w:r>
          </w:p>
        </w:tc>
        <w:tc>
          <w:tcPr>
            <w:tcW w:w="43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HRTX</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Capital Market</w:t>
            </w:r>
          </w:p>
        </w:tc>
      </w:tr>
    </w:tbl>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6" w:lineRule="exact"/>
        <w:rPr>
          <w:sz w:val="24"/>
          <w:szCs w:val="24"/>
          <w:color w:val="auto"/>
        </w:rPr>
      </w:pPr>
    </w:p>
    <w:p>
      <w:pPr>
        <w:ind w:right="2980"/>
        <w:spacing w:after="0" w:line="23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7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6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20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1700" w:type="dxa"/>
            <w:vAlign w:val="bottom"/>
          </w:tcPr>
          <w:p>
            <w:pPr>
              <w:spacing w:after="0"/>
              <w:rPr>
                <w:sz w:val="20"/>
                <w:szCs w:val="20"/>
                <w:color w:val="auto"/>
              </w:rPr>
            </w:pPr>
            <w:r>
              <w:rPr>
                <w:rFonts w:ascii="Arial" w:cs="Arial" w:eastAsia="Arial" w:hAnsi="Arial"/>
                <w:sz w:val="15"/>
                <w:szCs w:val="15"/>
                <w:color w:val="auto"/>
              </w:rPr>
              <w:t>Non-accelerated filer</w:t>
            </w:r>
          </w:p>
        </w:tc>
        <w:tc>
          <w:tcPr>
            <w:tcW w:w="366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20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6"/>
        </w:trPr>
        <w:tc>
          <w:tcPr>
            <w:tcW w:w="17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60" w:type="dxa"/>
            <w:vAlign w:val="bottom"/>
          </w:tcPr>
          <w:p>
            <w:pPr>
              <w:ind w:left="320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3" w:lineRule="exact"/>
        <w:rPr>
          <w:sz w:val="24"/>
          <w:szCs w:val="24"/>
          <w:color w:val="auto"/>
        </w:rPr>
      </w:pPr>
    </w:p>
    <w:p>
      <w:pPr>
        <w:ind w:right="600"/>
        <w:spacing w:after="0" w:line="21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75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2" w:lineRule="exact"/>
        <w:rPr>
          <w:sz w:val="24"/>
          <w:szCs w:val="24"/>
          <w:color w:val="auto"/>
        </w:rPr>
      </w:pPr>
    </w:p>
    <w:p>
      <w:pPr>
        <w:ind w:right="20"/>
        <w:spacing w:after="0" w:line="278" w:lineRule="auto"/>
        <w:rPr>
          <w:sz w:val="20"/>
          <w:szCs w:val="20"/>
          <w:color w:val="auto"/>
        </w:rPr>
      </w:pPr>
      <w:r>
        <w:rPr>
          <w:rFonts w:ascii="Arial" w:cs="Arial" w:eastAsia="Arial" w:hAnsi="Arial"/>
          <w:sz w:val="14"/>
          <w:szCs w:val="14"/>
          <w:color w:val="auto"/>
        </w:rPr>
        <w:t>The aggregate market value of voting and non-voting common stock held by non-affiliates of the registrant as of June 30, 2020 totaled $1.3 billion based on the closing price of $14.71 as reported by The Nasdaq Capital Market. As of February 5, 2021, there were 91,396,509 shares of the Company’s common stock ($0.01 par value)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6" w:lineRule="exact"/>
        <w:rPr>
          <w:sz w:val="24"/>
          <w:szCs w:val="24"/>
          <w:color w:val="auto"/>
        </w:rPr>
      </w:pPr>
    </w:p>
    <w:p>
      <w:pPr>
        <w:jc w:val="both"/>
        <w:ind w:right="240"/>
        <w:spacing w:after="0" w:line="257" w:lineRule="auto"/>
        <w:rPr>
          <w:sz w:val="20"/>
          <w:szCs w:val="20"/>
          <w:color w:val="auto"/>
        </w:rPr>
      </w:pPr>
      <w:r>
        <w:rPr>
          <w:rFonts w:ascii="Arial" w:cs="Arial" w:eastAsia="Arial" w:hAnsi="Arial"/>
          <w:sz w:val="14"/>
          <w:szCs w:val="14"/>
          <w:color w:val="auto"/>
        </w:rPr>
        <w:t>Portions of the registrant’s Definitive Proxy Statement related to its 2021 Annual Meeting of Stockholders’ to be held on or about June 17, 2021 are incorporated by reference into Part III of this Annual Report on Form 10-K. Such Definitive Proxy Statement will be filed with the U.S. Securities and Exchange Commission within 120 days after the end of the fiscal year to which this report relates. Except as expressly incorporated by reference, the registrant’s Definitive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ind w:left="14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7440" w:type="dxa"/>
            <w:vAlign w:val="bottom"/>
          </w:tcPr>
          <w:p>
            <w:pPr>
              <w:spacing w:after="0"/>
              <w:rPr>
                <w:sz w:val="24"/>
                <w:szCs w:val="24"/>
                <w:color w:val="auto"/>
              </w:rPr>
            </w:pPr>
          </w:p>
        </w:tc>
      </w:tr>
      <w:tr>
        <w:trPr>
          <w:trHeight w:val="229"/>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260" w:type="dxa"/>
            <w:vAlign w:val="bottom"/>
            <w:gridSpan w:val="3"/>
          </w:tcPr>
          <w:p>
            <w:pPr>
              <w:spacing w:after="0"/>
              <w:rPr>
                <w:sz w:val="19"/>
                <w:szCs w:val="19"/>
                <w:color w:val="auto"/>
              </w:rPr>
            </w:pPr>
          </w:p>
        </w:tc>
        <w:tc>
          <w:tcPr>
            <w:tcW w:w="30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7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Item 1A.</w:t>
            </w:r>
          </w:p>
        </w:tc>
        <w:tc>
          <w:tcPr>
            <w:tcW w:w="120" w:type="dxa"/>
            <w:vAlign w:val="bottom"/>
          </w:tcPr>
          <w:p>
            <w:pPr>
              <w:spacing w:after="0"/>
              <w:rPr>
                <w:sz w:val="21"/>
                <w:szCs w:val="21"/>
                <w:color w:val="auto"/>
              </w:rPr>
            </w:pPr>
          </w:p>
        </w:tc>
        <w:tc>
          <w:tcPr>
            <w:tcW w:w="3020" w:type="dxa"/>
            <w:vAlign w:val="bottom"/>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7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1B.</w:t>
            </w:r>
          </w:p>
        </w:tc>
        <w:tc>
          <w:tcPr>
            <w:tcW w:w="140" w:type="dxa"/>
            <w:vAlign w:val="bottom"/>
            <w:gridSpan w:val="2"/>
          </w:tcPr>
          <w:p>
            <w:pPr>
              <w:spacing w:after="0"/>
              <w:rPr>
                <w:sz w:val="21"/>
                <w:szCs w:val="21"/>
                <w:color w:val="auto"/>
              </w:rPr>
            </w:pPr>
          </w:p>
        </w:tc>
        <w:tc>
          <w:tcPr>
            <w:tcW w:w="3020" w:type="dxa"/>
            <w:vAlign w:val="bottom"/>
          </w:tcPr>
          <w:p>
            <w:pPr>
              <w:ind w:left="1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Unresolved Staff Comments</w:t>
              </w:r>
            </w:hyperlink>
          </w:p>
        </w:tc>
        <w:tc>
          <w:tcPr>
            <w:tcW w:w="7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260" w:type="dxa"/>
            <w:vAlign w:val="bottom"/>
            <w:gridSpan w:val="3"/>
          </w:tcPr>
          <w:p>
            <w:pPr>
              <w:spacing w:after="0"/>
              <w:rPr>
                <w:sz w:val="21"/>
                <w:szCs w:val="21"/>
                <w:color w:val="auto"/>
              </w:rPr>
            </w:pPr>
          </w:p>
        </w:tc>
        <w:tc>
          <w:tcPr>
            <w:tcW w:w="3020" w:type="dxa"/>
            <w:vAlign w:val="bottom"/>
          </w:tcPr>
          <w:p>
            <w:pPr>
              <w:ind w:left="1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Properties</w:t>
              </w:r>
            </w:hyperlink>
          </w:p>
        </w:tc>
        <w:tc>
          <w:tcPr>
            <w:tcW w:w="7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260" w:type="dxa"/>
            <w:vAlign w:val="bottom"/>
            <w:gridSpan w:val="3"/>
          </w:tcPr>
          <w:p>
            <w:pPr>
              <w:spacing w:after="0"/>
              <w:rPr>
                <w:sz w:val="21"/>
                <w:szCs w:val="21"/>
                <w:color w:val="auto"/>
              </w:rPr>
            </w:pPr>
          </w:p>
        </w:tc>
        <w:tc>
          <w:tcPr>
            <w:tcW w:w="3020" w:type="dxa"/>
            <w:vAlign w:val="bottom"/>
          </w:tcPr>
          <w:p>
            <w:pPr>
              <w:ind w:left="1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Proceedings</w:t>
              </w:r>
            </w:hyperlink>
          </w:p>
        </w:tc>
        <w:tc>
          <w:tcPr>
            <w:tcW w:w="7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4.</w:t>
            </w:r>
          </w:p>
        </w:tc>
        <w:tc>
          <w:tcPr>
            <w:tcW w:w="260" w:type="dxa"/>
            <w:vAlign w:val="bottom"/>
            <w:gridSpan w:val="3"/>
          </w:tcPr>
          <w:p>
            <w:pPr>
              <w:spacing w:after="0"/>
              <w:rPr>
                <w:sz w:val="21"/>
                <w:szCs w:val="21"/>
                <w:color w:val="auto"/>
              </w:rPr>
            </w:pPr>
          </w:p>
        </w:tc>
        <w:tc>
          <w:tcPr>
            <w:tcW w:w="3020" w:type="dxa"/>
            <w:vAlign w:val="bottom"/>
          </w:tcPr>
          <w:p>
            <w:pPr>
              <w:ind w:left="1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Mine Safety Disclosures</w:t>
              </w:r>
            </w:hyperlink>
          </w:p>
        </w:tc>
        <w:tc>
          <w:tcPr>
            <w:tcW w:w="74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0" w:type="dxa"/>
            <w:vAlign w:val="bottom"/>
          </w:tcPr>
          <w:p>
            <w:pPr>
              <w:ind w:left="140"/>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PART II</w:t>
              </w:r>
            </w:hyperlink>
          </w:p>
        </w:tc>
        <w:tc>
          <w:tcPr>
            <w:tcW w:w="1260" w:type="dxa"/>
            <w:vAlign w:val="bottom"/>
          </w:tcPr>
          <w:p>
            <w:pPr>
              <w:spacing w:after="0"/>
              <w:rPr>
                <w:sz w:val="20"/>
                <w:szCs w:val="20"/>
                <w:color w:val="auto"/>
              </w:rPr>
            </w:pPr>
          </w:p>
        </w:tc>
      </w:tr>
      <w:tr>
        <w:trPr>
          <w:trHeight w:val="229"/>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5.</w:t>
            </w:r>
          </w:p>
        </w:tc>
        <w:tc>
          <w:tcPr>
            <w:tcW w:w="260" w:type="dxa"/>
            <w:vAlign w:val="bottom"/>
            <w:gridSpan w:val="2"/>
          </w:tcPr>
          <w:p>
            <w:pPr>
              <w:spacing w:after="0"/>
              <w:rPr>
                <w:sz w:val="19"/>
                <w:szCs w:val="19"/>
                <w:color w:val="auto"/>
              </w:rPr>
            </w:pPr>
          </w:p>
        </w:tc>
        <w:tc>
          <w:tcPr>
            <w:tcW w:w="9200" w:type="dxa"/>
            <w:vAlign w:val="bottom"/>
          </w:tcPr>
          <w:p>
            <w:pPr>
              <w:ind w:left="1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260" w:type="dxa"/>
            <w:vAlign w:val="bottom"/>
            <w:gridSpan w:val="2"/>
          </w:tcPr>
          <w:p>
            <w:pPr>
              <w:spacing w:after="0"/>
              <w:rPr>
                <w:sz w:val="21"/>
                <w:szCs w:val="21"/>
                <w:color w:val="auto"/>
              </w:rPr>
            </w:pPr>
          </w:p>
        </w:tc>
        <w:tc>
          <w:tcPr>
            <w:tcW w:w="9200" w:type="dxa"/>
            <w:vAlign w:val="bottom"/>
          </w:tcPr>
          <w:p>
            <w:pPr>
              <w:ind w:left="1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Selected Financial Data</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0"/>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7.</w:t>
            </w:r>
          </w:p>
        </w:tc>
        <w:tc>
          <w:tcPr>
            <w:tcW w:w="260" w:type="dxa"/>
            <w:vAlign w:val="bottom"/>
            <w:gridSpan w:val="2"/>
          </w:tcPr>
          <w:p>
            <w:pPr>
              <w:spacing w:after="0"/>
              <w:rPr>
                <w:sz w:val="21"/>
                <w:szCs w:val="21"/>
                <w:color w:val="auto"/>
              </w:rPr>
            </w:pPr>
          </w:p>
        </w:tc>
        <w:tc>
          <w:tcPr>
            <w:tcW w:w="9200" w:type="dxa"/>
            <w:vAlign w:val="bottom"/>
          </w:tcPr>
          <w:p>
            <w:pPr>
              <w:ind w:left="1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Management’s Discussion and Analysis of Financial Condition and Results of Operations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0"/>
        </w:trPr>
        <w:tc>
          <w:tcPr>
            <w:tcW w:w="78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9200" w:type="dxa"/>
            <w:vAlign w:val="bottom"/>
          </w:tcPr>
          <w:p>
            <w:pPr>
              <w:ind w:left="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Quantitative and Qualitative Disclosures About Market Risk</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8.</w:t>
            </w:r>
          </w:p>
        </w:tc>
        <w:tc>
          <w:tcPr>
            <w:tcW w:w="1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200" w:type="dxa"/>
            <w:vAlign w:val="bottom"/>
          </w:tcPr>
          <w:p>
            <w:pPr>
              <w:ind w:left="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Financial Statements and Supplementary Data</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9.</w:t>
            </w:r>
          </w:p>
        </w:tc>
        <w:tc>
          <w:tcPr>
            <w:tcW w:w="260" w:type="dxa"/>
            <w:vAlign w:val="bottom"/>
            <w:gridSpan w:val="2"/>
          </w:tcPr>
          <w:p>
            <w:pPr>
              <w:spacing w:after="0"/>
              <w:rPr>
                <w:sz w:val="21"/>
                <w:szCs w:val="21"/>
                <w:color w:val="auto"/>
              </w:rPr>
            </w:pPr>
          </w:p>
        </w:tc>
        <w:tc>
          <w:tcPr>
            <w:tcW w:w="9200" w:type="dxa"/>
            <w:vAlign w:val="bottom"/>
          </w:tcPr>
          <w:p>
            <w:pPr>
              <w:ind w:left="1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Changes in and Disagreements with Accountants on Accounting and Financial Disclosure</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50"/>
        </w:trPr>
        <w:tc>
          <w:tcPr>
            <w:tcW w:w="78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9200" w:type="dxa"/>
            <w:vAlign w:val="bottom"/>
          </w:tcPr>
          <w:p>
            <w:pPr>
              <w:ind w:left="1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Controls and Procedures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50"/>
        </w:trPr>
        <w:tc>
          <w:tcPr>
            <w:tcW w:w="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2"/>
              </w:rPr>
              <w:t>Item 9B.</w:t>
            </w:r>
          </w:p>
        </w:tc>
        <w:tc>
          <w:tcPr>
            <w:tcW w:w="140" w:type="dxa"/>
            <w:vAlign w:val="bottom"/>
          </w:tcPr>
          <w:p>
            <w:pPr>
              <w:spacing w:after="0"/>
              <w:rPr>
                <w:sz w:val="21"/>
                <w:szCs w:val="21"/>
                <w:color w:val="auto"/>
              </w:rPr>
            </w:pPr>
          </w:p>
        </w:tc>
        <w:tc>
          <w:tcPr>
            <w:tcW w:w="9200" w:type="dxa"/>
            <w:vAlign w:val="bottom"/>
          </w:tcPr>
          <w:p>
            <w:pPr>
              <w:ind w:left="1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Other Information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8980" w:type="dxa"/>
            <w:vAlign w:val="bottom"/>
          </w:tcPr>
          <w:p>
            <w:pPr>
              <w:ind w:left="320"/>
              <w:spacing w:after="0"/>
              <w:rPr>
                <w:rFonts w:ascii="Arial" w:cs="Arial" w:eastAsia="Arial" w:hAnsi="Arial"/>
                <w:sz w:val="18"/>
                <w:szCs w:val="18"/>
                <w:b w:val="1"/>
                <w:bCs w:val="1"/>
                <w:u w:val="single" w:color="auto"/>
                <w:color w:val="0000EE"/>
              </w:rPr>
            </w:pPr>
            <w:hyperlink w:anchor="page112">
              <w:r>
                <w:rPr>
                  <w:rFonts w:ascii="Arial" w:cs="Arial" w:eastAsia="Arial" w:hAnsi="Arial"/>
                  <w:sz w:val="18"/>
                  <w:szCs w:val="18"/>
                  <w:b w:val="1"/>
                  <w:bCs w:val="1"/>
                  <w:u w:val="single" w:color="auto"/>
                  <w:color w:val="0000EE"/>
                </w:rPr>
                <w:t>PART III</w:t>
              </w:r>
            </w:hyperlink>
          </w:p>
        </w:tc>
        <w:tc>
          <w:tcPr>
            <w:tcW w:w="1660" w:type="dxa"/>
            <w:vAlign w:val="bottom"/>
          </w:tcPr>
          <w:p>
            <w:pPr>
              <w:spacing w:after="0"/>
              <w:rPr>
                <w:sz w:val="20"/>
                <w:szCs w:val="20"/>
                <w:color w:val="auto"/>
              </w:rPr>
            </w:pPr>
          </w:p>
        </w:tc>
      </w:tr>
      <w:tr>
        <w:trPr>
          <w:trHeight w:val="229"/>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Item 10.</w:t>
            </w:r>
          </w:p>
        </w:tc>
        <w:tc>
          <w:tcPr>
            <w:tcW w:w="8980" w:type="dxa"/>
            <w:vAlign w:val="bottom"/>
          </w:tcPr>
          <w:p>
            <w:pPr>
              <w:ind w:left="3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Directors, Executive Officers and Corporate Governance</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50"/>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Item 11.</w:t>
            </w:r>
          </w:p>
        </w:tc>
        <w:tc>
          <w:tcPr>
            <w:tcW w:w="8980" w:type="dxa"/>
            <w:vAlign w:val="bottom"/>
          </w:tcPr>
          <w:p>
            <w:pPr>
              <w:ind w:left="3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Executive Compensation</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50"/>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Item 12.</w:t>
            </w:r>
          </w:p>
        </w:tc>
        <w:tc>
          <w:tcPr>
            <w:tcW w:w="8980" w:type="dxa"/>
            <w:vAlign w:val="bottom"/>
          </w:tcPr>
          <w:p>
            <w:pPr>
              <w:ind w:left="3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Security Ownership of Certain Beneficial Owners and Management and Related Stockholder Matters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25"/>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Item 13.</w:t>
            </w:r>
          </w:p>
        </w:tc>
        <w:tc>
          <w:tcPr>
            <w:tcW w:w="8980" w:type="dxa"/>
            <w:vAlign w:val="bottom"/>
          </w:tcPr>
          <w:p>
            <w:pPr>
              <w:ind w:left="3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Certain Relationships and Related Transactions, and Director Independence</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50"/>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Item 14.</w:t>
            </w:r>
          </w:p>
        </w:tc>
        <w:tc>
          <w:tcPr>
            <w:tcW w:w="8980" w:type="dxa"/>
            <w:vAlign w:val="bottom"/>
          </w:tcPr>
          <w:p>
            <w:pPr>
              <w:ind w:left="3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Principal Accountant Fees and Services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40" w:type="dxa"/>
            <w:vAlign w:val="bottom"/>
          </w:tcPr>
          <w:p>
            <w:pPr>
              <w:ind w:left="160"/>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PART IV</w:t>
              </w:r>
            </w:hyperlink>
          </w:p>
        </w:tc>
        <w:tc>
          <w:tcPr>
            <w:tcW w:w="3840" w:type="dxa"/>
            <w:vAlign w:val="bottom"/>
          </w:tcPr>
          <w:p>
            <w:pPr>
              <w:spacing w:after="0"/>
              <w:rPr>
                <w:sz w:val="20"/>
                <w:szCs w:val="20"/>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6640" w:type="dxa"/>
            <w:vAlign w:val="bottom"/>
          </w:tcPr>
          <w:p>
            <w:pPr>
              <w:ind w:left="16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Exhibits, Financial Statement Schedules</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90"/>
        </w:trPr>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tcPr>
          <w:p>
            <w:pPr>
              <w:ind w:left="16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Exhibit Index</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6640" w:type="dxa"/>
            <w:vAlign w:val="bottom"/>
          </w:tcPr>
          <w:p>
            <w:pPr>
              <w:ind w:left="16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Form 10-K Summary</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90"/>
        </w:trPr>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tcPr>
          <w:p>
            <w:pPr>
              <w:ind w:left="1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Signatures</w:t>
              </w:r>
            </w:hyperlink>
          </w:p>
        </w:tc>
        <w:tc>
          <w:tcPr>
            <w:tcW w:w="38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601"/>
        </w:trPr>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the federal securities laws. We make such forward-looking statements pursuant to the safe harbor provisions of the Private Securities Litigation Reform Act of 1995 and other federal securities laws. You can identify forward-looking statements by the use of the words “believe,” “expect,” “anticipate,” “intend,” “estimate,” “project,” “will,” “could,” “should,” “may,” “might,” “plan,” “assume” and other expressions that predict or indicate future events and trends and which do not relate to historical matters. You should not rely on forward-looking statements because they involve known and unknown risks, uncertainties and other factors, some of which are beyond our control. These risks, uncertainties and other factors may cause our actual results, performance or achievements to be materially different from our anticipated future results, performance or achievements expressed or implied by the forward-looking statements.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85" w:lineRule="exact"/>
        <w:rPr>
          <w:sz w:val="20"/>
          <w:szCs w:val="20"/>
          <w:color w:val="auto"/>
        </w:rPr>
      </w:pPr>
    </w:p>
    <w:p>
      <w:pPr>
        <w:ind w:left="1020" w:hanging="432"/>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market and achieve market acceptance of CINVANTI</w:t>
      </w:r>
      <w:r>
        <w:rPr>
          <w:rFonts w:ascii="Arial" w:cs="Arial" w:eastAsia="Arial" w:hAnsi="Arial"/>
          <w:sz w:val="15"/>
          <w:szCs w:val="15"/>
          <w:color w:val="auto"/>
        </w:rPr>
        <w:t>®</w:t>
      </w:r>
      <w:r>
        <w:rPr>
          <w:rFonts w:ascii="Arial" w:cs="Arial" w:eastAsia="Arial" w:hAnsi="Arial"/>
          <w:sz w:val="18"/>
          <w:szCs w:val="18"/>
          <w:color w:val="auto"/>
        </w:rPr>
        <w:t xml:space="preserve"> (aprepitant) injectable emulsion (“CINVANTI”) and SUSTOL</w:t>
      </w:r>
      <w:r>
        <w:rPr>
          <w:rFonts w:ascii="Arial" w:cs="Arial" w:eastAsia="Arial" w:hAnsi="Arial"/>
          <w:sz w:val="15"/>
          <w:szCs w:val="15"/>
          <w:color w:val="auto"/>
        </w:rPr>
        <w:t>®</w:t>
      </w:r>
      <w:r>
        <w:rPr>
          <w:rFonts w:ascii="Arial" w:cs="Arial" w:eastAsia="Arial" w:hAnsi="Arial"/>
          <w:sz w:val="18"/>
          <w:szCs w:val="18"/>
          <w:color w:val="auto"/>
        </w:rPr>
        <w:t xml:space="preserve"> (granisetron) extended-release injection (“SUSTOL”) in the U.S., and ZYNRELEF™ in the European Union (“EU”), the other countries in the European Economic Area (“EEA”), and the United Kingdom (collectively, our “Products”) and HTX-011, HTX-019, HTX-034 and CINVANTI for the treatment of COVID-19 (collectively, our “Product Candidates”), if approved by applicable regulatory authorities, and our positioning relative to competing products;</w:t>
      </w:r>
    </w:p>
    <w:p>
      <w:pPr>
        <w:spacing w:after="0" w:line="147"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satisfactory pricing and obtain adequate reimbursement from government and third-party payors of our Products and our Product Candidates, if approved, or any product candidates we may develop;</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study results of our Products and Product Candidates are indicative of the results in future studies;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results of the commercial launch of ZYNRELEF in Europe;</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regulatory approval for and commercial launch of our Product Candidates, if approved;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market opportunities for our Products and our Product Candidates, if approved;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competitors’ activities, including decisions as to the timing of competing product launches, generic entrants, pricing and discounting;</w:t>
      </w:r>
    </w:p>
    <w:p>
      <w:pPr>
        <w:spacing w:after="0" w:line="207" w:lineRule="exact"/>
        <w:rPr>
          <w:rFonts w:ascii="Arial" w:cs="Arial" w:eastAsia="Arial" w:hAnsi="Arial"/>
          <w:sz w:val="16"/>
          <w:szCs w:val="16"/>
          <w:color w:val="auto"/>
        </w:rPr>
      </w:pPr>
    </w:p>
    <w:p>
      <w:pPr>
        <w:ind w:left="1020" w:right="360" w:hanging="432"/>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safety and efficacy results of our clinical studies and other required tests for approval of our Product Candidates provide data to warrant progression of clinical trials, potential regulatory approval or further development of any of our Product Candidates;</w:t>
      </w:r>
    </w:p>
    <w:p>
      <w:pPr>
        <w:spacing w:after="0" w:line="105" w:lineRule="exact"/>
        <w:rPr>
          <w:rFonts w:ascii="Arial" w:cs="Arial" w:eastAsia="Arial" w:hAnsi="Arial"/>
          <w:sz w:val="17"/>
          <w:szCs w:val="17"/>
          <w:color w:val="auto"/>
        </w:rPr>
      </w:pPr>
    </w:p>
    <w:p>
      <w:pPr>
        <w:ind w:left="1020" w:right="8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 and our ability to submit for and obtain regulatory approval for product candidates in our anticipated timing, or at all;</w:t>
      </w:r>
    </w:p>
    <w:p>
      <w:pPr>
        <w:spacing w:after="0" w:line="129" w:lineRule="exact"/>
        <w:rPr>
          <w:rFonts w:ascii="Arial" w:cs="Arial" w:eastAsia="Arial" w:hAnsi="Arial"/>
          <w:sz w:val="18"/>
          <w:szCs w:val="18"/>
          <w:color w:val="auto"/>
        </w:rPr>
      </w:pPr>
    </w:p>
    <w:p>
      <w:pPr>
        <w:ind w:left="1020" w:right="120" w:hanging="432"/>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postmarketing study requirements within the U.S. Food and Drug Administration’s (“FDA”) mandated timelines and to obtain favorable results and comply with standard postmarketing requirements, including U.S. federal advertising and promotion laws, federal and state anti-fraud and abuse laws, healthcare information privacy and security laws, safety information, safety surveillance and disclosure of payments or other transfers of value to healthcare professionals and entities for CINVANTI, SUSTOL or any of our Product Candidates;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 w:name="page4"/>
    <w:bookmarkEnd w:id="3"/>
    <w:p>
      <w:pPr>
        <w:ind w:left="1020" w:right="48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develop and achieve regulatory approval for our Product Candidates and our other future product candidates utilizing our proprietary Biochronomer</w:t>
      </w:r>
      <w:r>
        <w:rPr>
          <w:rFonts w:ascii="Arial" w:cs="Arial" w:eastAsia="Arial" w:hAnsi="Arial"/>
          <w:sz w:val="15"/>
          <w:szCs w:val="15"/>
          <w:color w:val="auto"/>
        </w:rPr>
        <w:t>®</w:t>
      </w:r>
      <w:r>
        <w:rPr>
          <w:rFonts w:ascii="Arial" w:cs="Arial" w:eastAsia="Arial" w:hAnsi="Arial"/>
          <w:sz w:val="18"/>
          <w:szCs w:val="18"/>
          <w:color w:val="auto"/>
        </w:rPr>
        <w:t xml:space="preserve"> drug delivery technology (“Biochronomer Technology”);</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key collaborations and vendor relationships for our Products and our Product Candidates;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any technology that we may in-license or products we may acquire;</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delays due to manufacturing difficulties, supply constraints or changes in the regulatory environment;</w:t>
      </w:r>
    </w:p>
    <w:p>
      <w:pPr>
        <w:spacing w:after="0" w:line="184" w:lineRule="exact"/>
        <w:rPr>
          <w:rFonts w:ascii="Arial" w:cs="Arial" w:eastAsia="Arial" w:hAnsi="Arial"/>
          <w:sz w:val="18"/>
          <w:szCs w:val="18"/>
          <w:color w:val="auto"/>
        </w:rPr>
      </w:pPr>
    </w:p>
    <w:p>
      <w:pPr>
        <w:ind w:left="1020" w:right="26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in non-U.S. jurisdictions in which we may choose to do business, including compliance with applicable regulatory requirements and laws;</w:t>
      </w:r>
    </w:p>
    <w:p>
      <w:pPr>
        <w:spacing w:after="0" w:line="129" w:lineRule="exact"/>
        <w:rPr>
          <w:rFonts w:ascii="Arial" w:cs="Arial" w:eastAsia="Arial" w:hAnsi="Arial"/>
          <w:sz w:val="18"/>
          <w:szCs w:val="18"/>
          <w:color w:val="auto"/>
        </w:rPr>
      </w:pPr>
    </w:p>
    <w:p>
      <w:pPr>
        <w:jc w:val="both"/>
        <w:ind w:left="1020" w:right="700" w:hanging="432"/>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obtaining and enforcing patents and trade secrets to protect our Products, our Product Candidates, our Biochronomer Technology and our other technology, and our ability to successfully defend ourselves against unforeseen third-party infringement claims;</w:t>
      </w:r>
    </w:p>
    <w:p>
      <w:pPr>
        <w:spacing w:after="0" w:line="143" w:lineRule="exact"/>
        <w:rPr>
          <w:rFonts w:ascii="Arial" w:cs="Arial" w:eastAsia="Arial" w:hAnsi="Arial"/>
          <w:sz w:val="18"/>
          <w:szCs w:val="18"/>
          <w:color w:val="auto"/>
        </w:rPr>
      </w:pPr>
    </w:p>
    <w:p>
      <w:pPr>
        <w:ind w:left="1020" w:right="48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of the impact of the ongoing Coronavirus Disease 2019 (“COVID-19”) pandemic on our business, including any COVID-19 mutations and any other diseases related to or resulting from COVID-19;</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financing and raise capital as necessary to fund operations or pursue business opportunities.</w:t>
      </w:r>
    </w:p>
    <w:p>
      <w:pPr>
        <w:spacing w:after="0" w:line="22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entitled “Risk Factors” in this Annual Report on Form 10-K. You should carefully review all of these factors. Given these uncertainties, you should not place undue reliance on these forward-looking statements. These forward-looking statements were based on information, plans and estimates as of the date of this Annual Report on Form 10-K, and except as required by law, we assume no obligation to update any forward-looking statements to reflect changes in underlying assumptions or factors, new information, future events or other changes. These risk factors may be updated by our future filings under the Securities Exchange Act of 1934 (“Exchange Act”). You should carefully review all information therein.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In this Annual Report on Form 10-K, all references to “Heron,” the “Company,” “we,” “us,” “our” and similar terms refer to Heron Therapeutics, Inc. and its wholly-owned subsidiary, Heron Therapeutics B.V. Heron Therapeutics</w:t>
      </w:r>
      <w:r>
        <w:rPr>
          <w:rFonts w:ascii="Arial" w:cs="Arial" w:eastAsia="Arial" w:hAnsi="Arial"/>
          <w:sz w:val="15"/>
          <w:szCs w:val="15"/>
          <w:color w:val="auto"/>
        </w:rPr>
        <w:t>®</w:t>
      </w:r>
      <w:r>
        <w:rPr>
          <w:rFonts w:ascii="Arial" w:cs="Arial" w:eastAsia="Arial" w:hAnsi="Arial"/>
          <w:sz w:val="18"/>
          <w:szCs w:val="18"/>
          <w:color w:val="auto"/>
        </w:rPr>
        <w:t>, the Heron logo, CINVANTI</w:t>
      </w:r>
      <w:r>
        <w:rPr>
          <w:rFonts w:ascii="Arial" w:cs="Arial" w:eastAsia="Arial" w:hAnsi="Arial"/>
          <w:sz w:val="15"/>
          <w:szCs w:val="15"/>
          <w:color w:val="auto"/>
        </w:rPr>
        <w:t>®</w:t>
      </w:r>
      <w:r>
        <w:rPr>
          <w:rFonts w:ascii="Arial" w:cs="Arial" w:eastAsia="Arial" w:hAnsi="Arial"/>
          <w:sz w:val="18"/>
          <w:szCs w:val="18"/>
          <w:color w:val="auto"/>
        </w:rPr>
        <w:t>, SUSTOL</w:t>
      </w:r>
      <w:r>
        <w:rPr>
          <w:rFonts w:ascii="Arial" w:cs="Arial" w:eastAsia="Arial" w:hAnsi="Arial"/>
          <w:sz w:val="15"/>
          <w:szCs w:val="15"/>
          <w:color w:val="auto"/>
        </w:rPr>
        <w:t>®</w:t>
      </w:r>
      <w:r>
        <w:rPr>
          <w:rFonts w:ascii="Arial" w:cs="Arial" w:eastAsia="Arial" w:hAnsi="Arial"/>
          <w:sz w:val="18"/>
          <w:szCs w:val="18"/>
          <w:color w:val="auto"/>
        </w:rPr>
        <w:t>, ZYNRELEF™ and Biochronomer</w:t>
      </w:r>
      <w:r>
        <w:rPr>
          <w:rFonts w:ascii="Arial" w:cs="Arial" w:eastAsia="Arial" w:hAnsi="Arial"/>
          <w:sz w:val="15"/>
          <w:szCs w:val="15"/>
          <w:color w:val="auto"/>
        </w:rPr>
        <w:t>®</w:t>
      </w:r>
      <w:r>
        <w:rPr>
          <w:rFonts w:ascii="Arial" w:cs="Arial" w:eastAsia="Arial" w:hAnsi="Arial"/>
          <w:sz w:val="18"/>
          <w:szCs w:val="18"/>
          <w:color w:val="auto"/>
        </w:rPr>
        <w:t xml:space="preserve"> are our trademarks. All other trademarks appearing or incorporated by reference into this Annual Report on Form 10-K are the property of their respective owners.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are a commercial-stage biotechnology company focused on improving the lives of patients by developing best-in-class treatments to address some of the most important unmet patient needs. We are developing novel, patient-focused solutions that apply our innovative science and technologies to already-approved pharmacological agents for patients suffering from pain or cancer.</w:t>
      </w:r>
    </w:p>
    <w:p>
      <w:pPr>
        <w:spacing w:after="0" w:line="184"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 August 2016, our first commercial product, SUSTOL, was approved by the FDA.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(“5-HT</w:t>
      </w:r>
      <w:r>
        <w:rPr>
          <w:rFonts w:ascii="Arial" w:cs="Arial" w:eastAsia="Arial" w:hAnsi="Arial"/>
          <w:sz w:val="15"/>
          <w:szCs w:val="15"/>
          <w:color w:val="auto"/>
        </w:rPr>
        <w:t>3</w:t>
      </w:r>
      <w:r>
        <w:rPr>
          <w:rFonts w:ascii="Arial" w:cs="Arial" w:eastAsia="Arial" w:hAnsi="Arial"/>
          <w:sz w:val="18"/>
          <w:szCs w:val="18"/>
          <w:color w:val="auto"/>
        </w:rPr>
        <w:t>”) receptor antagonist that utilizes our Biochronomer Technology to maintain therapeutic levels of granisetron for ≥5 days. We commenced commercial sales of SUSTOL in the U.S. in October 2016.</w:t>
      </w:r>
    </w:p>
    <w:p>
      <w:pPr>
        <w:spacing w:after="0" w:line="188"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 xml:space="preserve">In November 2017, our second commercial product, CINVANTI was approved by the FDA. </w:t>
      </w:r>
      <w:r>
        <w:rPr>
          <w:rFonts w:ascii="Arial" w:cs="Arial" w:eastAsia="Arial" w:hAnsi="Arial"/>
          <w:sz w:val="16"/>
          <w:szCs w:val="16"/>
          <w:color w:val="1E1E1E"/>
        </w:rPr>
        <w:t>In October 2019, the FDA approved our supplemental</w:t>
      </w:r>
      <w:r>
        <w:rPr>
          <w:rFonts w:ascii="Arial" w:cs="Arial" w:eastAsia="Arial" w:hAnsi="Arial"/>
          <w:sz w:val="16"/>
          <w:szCs w:val="16"/>
          <w:color w:val="auto"/>
        </w:rPr>
        <w:t xml:space="preserve"> </w:t>
      </w:r>
      <w:r>
        <w:rPr>
          <w:rFonts w:ascii="Arial" w:cs="Arial" w:eastAsia="Arial" w:hAnsi="Arial"/>
          <w:sz w:val="16"/>
          <w:szCs w:val="16"/>
          <w:color w:val="1E1E1E"/>
        </w:rPr>
        <w:t xml:space="preserve">New Drug Application (“sNDA”) for CINVANTI to expand the indication and recommended dosage to include the 130 mg single-dose regimen for patients receiving </w:t>
      </w:r>
      <w:r>
        <w:rPr>
          <w:rFonts w:ascii="Arial" w:cs="Arial" w:eastAsia="Arial" w:hAnsi="Arial"/>
          <w:sz w:val="16"/>
          <w:szCs w:val="16"/>
          <w:color w:val="000000"/>
        </w:rPr>
        <w:t>moderately emetogenic cancer chemotherapy</w:t>
      </w:r>
      <w:r>
        <w:rPr>
          <w:rFonts w:ascii="Arial" w:cs="Arial" w:eastAsia="Arial" w:hAnsi="Arial"/>
          <w:sz w:val="16"/>
          <w:szCs w:val="16"/>
          <w:color w:val="1E1E1E"/>
        </w:rPr>
        <w:t xml:space="preserve"> (“MEC”). </w:t>
      </w:r>
      <w:r>
        <w:rPr>
          <w:rFonts w:ascii="Arial" w:cs="Arial" w:eastAsia="Arial" w:hAnsi="Arial"/>
          <w:sz w:val="16"/>
          <w:szCs w:val="16"/>
          <w:color w:val="000000"/>
        </w:rPr>
        <w:t>CINVANTI, in combination with other antiemetic agents, is indicated in adults</w:t>
      </w:r>
      <w:r>
        <w:rPr>
          <w:rFonts w:ascii="Arial" w:cs="Arial" w:eastAsia="Arial" w:hAnsi="Arial"/>
          <w:sz w:val="16"/>
          <w:szCs w:val="16"/>
          <w:color w:val="1E1E1E"/>
        </w:rPr>
        <w:t xml:space="preserve"> </w:t>
      </w:r>
      <w:r>
        <w:rPr>
          <w:rFonts w:ascii="Arial" w:cs="Arial" w:eastAsia="Arial" w:hAnsi="Arial"/>
          <w:sz w:val="16"/>
          <w:szCs w:val="16"/>
          <w:color w:val="000000"/>
        </w:rPr>
        <w:t>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intravenous (“IV”) formulation of aprepitant, a substance P/neurokinin-1 (“NK</w:t>
      </w:r>
      <w:r>
        <w:rPr>
          <w:rFonts w:ascii="Arial" w:cs="Arial" w:eastAsia="Arial" w:hAnsi="Arial"/>
          <w:sz w:val="13"/>
          <w:szCs w:val="13"/>
          <w:color w:val="000000"/>
        </w:rPr>
        <w:t>1</w:t>
      </w:r>
      <w:r>
        <w:rPr>
          <w:rFonts w:ascii="Arial" w:cs="Arial" w:eastAsia="Arial" w:hAnsi="Arial"/>
          <w:sz w:val="16"/>
          <w:szCs w:val="16"/>
          <w:color w:val="000000"/>
        </w:rPr>
        <w:t xml:space="preserve">”) receptor antagonist. We commenced commercial sales of CINVANTI in the U.S. in January 2018. In February 2019, the FDA </w:t>
      </w:r>
      <w:r>
        <w:rPr>
          <w:rFonts w:ascii="Arial" w:cs="Arial" w:eastAsia="Arial" w:hAnsi="Arial"/>
          <w:sz w:val="16"/>
          <w:szCs w:val="16"/>
          <w:color w:val="1E1E1E"/>
        </w:rPr>
        <w:t>approved our sNDA for CINVANTI, for IV use, which expanded the administration</w:t>
      </w:r>
      <w:r>
        <w:rPr>
          <w:rFonts w:ascii="Arial" w:cs="Arial" w:eastAsia="Arial" w:hAnsi="Arial"/>
          <w:sz w:val="16"/>
          <w:szCs w:val="16"/>
          <w:color w:val="000000"/>
        </w:rPr>
        <w:t xml:space="preserve"> </w:t>
      </w:r>
      <w:r>
        <w:rPr>
          <w:rFonts w:ascii="Arial" w:cs="Arial" w:eastAsia="Arial" w:hAnsi="Arial"/>
          <w:sz w:val="16"/>
          <w:szCs w:val="16"/>
          <w:color w:val="1E1E1E"/>
        </w:rPr>
        <w:t>of CINVANTI beyond the initially approved administration method (a 30-minute IV infusion) to include a 2-minute IV injection.</w:t>
      </w:r>
    </w:p>
    <w:p>
      <w:pPr>
        <w:spacing w:after="0" w:line="166"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HTX-019 is an investigational agent for the prevention of postoperative nausea and vomiting (“PONV”). HTX-019 is an IV injectable emulsion formulation designed to directly deliver aprepitant, the active ingredient in EMEND</w:t>
      </w:r>
      <w:r>
        <w:rPr>
          <w:rFonts w:ascii="Arial" w:cs="Arial" w:eastAsia="Arial" w:hAnsi="Arial"/>
          <w:sz w:val="15"/>
          <w:szCs w:val="15"/>
          <w:color w:val="auto"/>
        </w:rPr>
        <w:t>®</w:t>
      </w:r>
      <w:r>
        <w:rPr>
          <w:rFonts w:ascii="Arial" w:cs="Arial" w:eastAsia="Arial" w:hAnsi="Arial"/>
          <w:sz w:val="18"/>
          <w:szCs w:val="18"/>
          <w:color w:val="auto"/>
        </w:rPr>
        <w:t xml:space="preserve"> (aprepitant) capsules, which is the only NK</w:t>
      </w:r>
      <w:r>
        <w:rPr>
          <w:rFonts w:ascii="Arial" w:cs="Arial" w:eastAsia="Arial" w:hAnsi="Arial"/>
          <w:sz w:val="15"/>
          <w:szCs w:val="15"/>
          <w:color w:val="auto"/>
        </w:rPr>
        <w:t>1</w:t>
      </w:r>
      <w:r>
        <w:rPr>
          <w:rFonts w:ascii="Arial" w:cs="Arial" w:eastAsia="Arial" w:hAnsi="Arial"/>
          <w:sz w:val="18"/>
          <w:szCs w:val="18"/>
          <w:color w:val="auto"/>
        </w:rPr>
        <w:t xml:space="preserve"> receptor antagonist approved in the U.S. for the prevention of PONV in adults. The FDA-approved dose of oral EMEND is 40 mg for PONV, which is given within 3 hours prior to induction of anesthesia for surgery. An Investigational New Drug application (“IND”) for HTX-019 for PONV was approved by the FDA in late September 2020. In a Phase 1 clinical trial, 32 mg of HTX-019 as a 30-second IV injection was demonstrated to be bioequivalent to oral aprepitant 40 mg. An NDA for HTX-019 is planned in late 2021 for prevention of PONV in adults.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right="260" w:firstLine="589"/>
        <w:spacing w:after="0" w:line="254" w:lineRule="auto"/>
        <w:rPr>
          <w:sz w:val="20"/>
          <w:szCs w:val="20"/>
          <w:color w:val="auto"/>
        </w:rPr>
      </w:pPr>
      <w:r>
        <w:rPr>
          <w:rFonts w:ascii="Arial" w:cs="Arial" w:eastAsia="Arial" w:hAnsi="Arial"/>
          <w:sz w:val="18"/>
          <w:szCs w:val="18"/>
          <w:color w:val="1E1E1E"/>
        </w:rPr>
        <w:t xml:space="preserve">In September 2020, our third approved product, ZYNRELEF (also known as HTX-011) was granted a marketing authorization by the European Commission (“EC”). ZYNRELEF is indicated for the treatment of somatic postoperative pain from small- to medium-sized surgical wounds in adults. ZYNRELEF, a </w:t>
      </w:r>
      <w:r>
        <w:rPr>
          <w:rFonts w:ascii="Arial" w:cs="Arial" w:eastAsia="Arial" w:hAnsi="Arial"/>
          <w:sz w:val="18"/>
          <w:szCs w:val="18"/>
          <w:color w:val="000000"/>
        </w:rPr>
        <w:t>non-opioid, is a dual-acting, fixed-dose combination of the local anesthetic bupivacaine with a low dose of the 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As we build large-scale manufacturing capacity to meet the anticipated commercial demand in the U.S. and the rest of the world, we are developing a coordinated global marketing strategy.</w:t>
      </w:r>
    </w:p>
    <w:p>
      <w:pPr>
        <w:spacing w:after="0" w:line="195"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 xml:space="preserve">HTX-011 (ZYNRELEF in Europe) is an investigational agent in the U.S. and Canada. The FDA granted Breakthrough Therapy designation to HTX-011 and the New Drug Application (“NDA”) received Priority Review designation. A Complete Response Letter (“CRL”) was received from the FDA regarding the NDA for HTX-011 in June 2020. The CRL stated that the FDA is unable to approve the NDA in its present form based on the need for additional non-clinical information. Based on the complete review of the NDA, the FDA did not identify any clinical safety or efficacy issues or chemistry, manufacturing and controls issues. 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1E1E1E"/>
        </w:rPr>
        <w:t>At the Type A End-of-Review meeting in September 2020 (the “Type A Meeting”),</w:t>
      </w:r>
      <w:r>
        <w:rPr>
          <w:rFonts w:ascii="Arial" w:cs="Arial" w:eastAsia="Arial" w:hAnsi="Arial"/>
          <w:sz w:val="16"/>
          <w:szCs w:val="16"/>
          <w:color w:val="auto"/>
        </w:rPr>
        <w:t xml:space="preserve"> </w:t>
      </w:r>
      <w:r>
        <w:rPr>
          <w:rFonts w:ascii="Arial" w:cs="Arial" w:eastAsia="Arial" w:hAnsi="Arial"/>
          <w:sz w:val="16"/>
          <w:szCs w:val="16"/>
          <w:color w:val="1E1E1E"/>
        </w:rPr>
        <w:t xml:space="preserve">the FDA agreed with the change to the manufacturing specification proposed by Heron to address the FDA’s concern and agreed with our proposal to bridge the clinical and nonclinical excipient exposure data to address the other 3 deficiencies. </w:t>
      </w:r>
      <w:r>
        <w:rPr>
          <w:rFonts w:ascii="Arial" w:cs="Arial" w:eastAsia="Arial" w:hAnsi="Arial"/>
          <w:sz w:val="16"/>
          <w:szCs w:val="16"/>
          <w:color w:val="000000"/>
        </w:rPr>
        <w:t>In November 2020, we resubmitted the NDA to the FDA for</w:t>
      </w:r>
      <w:r>
        <w:rPr>
          <w:rFonts w:ascii="Arial" w:cs="Arial" w:eastAsia="Arial" w:hAnsi="Arial"/>
          <w:sz w:val="16"/>
          <w:szCs w:val="16"/>
          <w:color w:val="1E1E1E"/>
        </w:rPr>
        <w:t xml:space="preserve"> </w:t>
      </w:r>
      <w:r>
        <w:rPr>
          <w:rFonts w:ascii="Arial" w:cs="Arial" w:eastAsia="Arial" w:hAnsi="Arial"/>
          <w:sz w:val="16"/>
          <w:szCs w:val="16"/>
          <w:color w:val="000000"/>
        </w:rPr>
        <w:t>HTX-011 based on the outcome and final minutes of the Type A Meeting. The Prescription Drug User Fee Act (“PDUFA”) goal date is May 12, 2021.</w:t>
      </w:r>
    </w:p>
    <w:p>
      <w:pPr>
        <w:spacing w:after="0" w:line="168" w:lineRule="exact"/>
        <w:rPr>
          <w:sz w:val="20"/>
          <w:szCs w:val="20"/>
          <w:color w:val="auto"/>
        </w:rPr>
      </w:pPr>
    </w:p>
    <w:p>
      <w:pPr>
        <w:ind w:firstLine="589"/>
        <w:spacing w:after="0" w:line="217" w:lineRule="exact"/>
        <w:rPr>
          <w:sz w:val="20"/>
          <w:szCs w:val="20"/>
          <w:color w:val="auto"/>
        </w:rPr>
      </w:pPr>
      <w:r>
        <w:rPr>
          <w:rFonts w:ascii="Arial" w:cs="Arial" w:eastAsia="Arial" w:hAnsi="Arial"/>
          <w:sz w:val="17"/>
          <w:szCs w:val="17"/>
          <w:color w:val="1E1E1E"/>
        </w:rPr>
        <w:t xml:space="preserve">HTX-034, </w:t>
      </w:r>
      <w:r>
        <w:rPr>
          <w:rFonts w:ascii="Arial" w:cs="Arial" w:eastAsia="Arial" w:hAnsi="Arial"/>
          <w:sz w:val="17"/>
          <w:szCs w:val="17"/>
          <w:color w:val="000000"/>
        </w:rPr>
        <w:t>our next-generation product candidate for postoperative pain management, is</w:t>
      </w:r>
      <w:r>
        <w:rPr>
          <w:rFonts w:ascii="Arial" w:cs="Arial" w:eastAsia="Arial" w:hAnsi="Arial"/>
          <w:sz w:val="17"/>
          <w:szCs w:val="17"/>
          <w:color w:val="1E1E1E"/>
        </w:rPr>
        <w:t xml:space="preserve"> an investigational non-opioid, fixed-dose combination, extended</w:t>
      </w:r>
      <w:r>
        <w:rPr>
          <w:rFonts w:ascii="MS PGothic" w:cs="MS PGothic" w:eastAsia="MS PGothic" w:hAnsi="MS PGothic"/>
          <w:sz w:val="17"/>
          <w:szCs w:val="17"/>
          <w:color w:val="1E1E1E"/>
        </w:rPr>
        <w:t>‑</w:t>
      </w:r>
      <w:r>
        <w:rPr>
          <w:rFonts w:ascii="Arial" w:cs="Arial" w:eastAsia="Arial" w:hAnsi="Arial"/>
          <w:sz w:val="17"/>
          <w:szCs w:val="17"/>
          <w:color w:val="1E1E1E"/>
        </w:rPr>
        <w:t xml:space="preserve">release solution of the local anesthetic bupivacaine, the nonsteroidal anti-inflammatory drug meloxicam and an additional agent that further potentiates the activity of bupivacaine. HTX-034 is formulated in the same proprietary polymer as HTX-011 </w:t>
      </w:r>
      <w:r>
        <w:rPr>
          <w:rFonts w:ascii="Arial" w:cs="Arial" w:eastAsia="Arial" w:hAnsi="Arial"/>
          <w:sz w:val="17"/>
          <w:szCs w:val="17"/>
          <w:color w:val="000000"/>
        </w:rPr>
        <w:t>(ZYNRELEF in Europe)</w:t>
      </w:r>
      <w:r>
        <w:rPr>
          <w:rFonts w:ascii="Arial" w:cs="Arial" w:eastAsia="Arial" w:hAnsi="Arial"/>
          <w:sz w:val="17"/>
          <w:szCs w:val="17"/>
          <w:color w:val="1E1E1E"/>
        </w:rPr>
        <w:t xml:space="preserve">.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 </w:t>
      </w:r>
      <w:r>
        <w:rPr>
          <w:rFonts w:ascii="Arial" w:cs="Arial" w:eastAsia="Arial" w:hAnsi="Arial"/>
          <w:sz w:val="17"/>
          <w:szCs w:val="17"/>
          <w:color w:val="000000"/>
        </w:rPr>
        <w:t>In May 2020, we initiated a</w:t>
      </w:r>
      <w:r>
        <w:rPr>
          <w:rFonts w:ascii="Arial" w:cs="Arial" w:eastAsia="Arial" w:hAnsi="Arial"/>
          <w:sz w:val="17"/>
          <w:szCs w:val="17"/>
          <w:color w:val="1E1E1E"/>
        </w:rPr>
        <w:t xml:space="preserve"> </w:t>
      </w:r>
      <w:r>
        <w:rPr>
          <w:rFonts w:ascii="Arial" w:cs="Arial" w:eastAsia="Arial" w:hAnsi="Arial"/>
          <w:sz w:val="17"/>
          <w:szCs w:val="17"/>
          <w:color w:val="000000"/>
        </w:rPr>
        <w:t xml:space="preserve">Phase 1b/2 clinical study in patients undergoing bunionectomy of HTX-034. </w:t>
      </w:r>
      <w:r>
        <w:rPr>
          <w:rFonts w:ascii="Arial" w:cs="Arial" w:eastAsia="Arial" w:hAnsi="Arial"/>
          <w:sz w:val="17"/>
          <w:szCs w:val="17"/>
          <w:color w:val="1E1E1E"/>
        </w:rPr>
        <w:t>In the Phase 1b portion of this Phase 1b/2 double-blind, randomized, active-controlled, dose-escalation study in 33 patients undergoing bunionectomy, the reduction in pain intensity observed was greater with the lowest dose of HTX-034 evaluated (containing 21.7 mg of bupivacaine plus meloxicam and aprepitant) than with the bupivacaine 50 mg solution through 96 hours. In addition, 45.5% of HTX-034 patients remained opioid-free through Day 15 with median opioid consumption of 2.5 milligram morphine equivalents (same as one 5 mg oxycodone pill) through 72-hours, a 71% reduction compared to bupivacaine solution. We expect to initiate the expanded Phase 2 portion of the study for HTX-034 in the first quarter of 2021.</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Chemotherapy-Induced Nausea and Vomiting (“CINV”) Product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SUSTOL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SUSTOL was our first commercial product. SUSTOL was approved by the FDA in August 2016, and we commenced commercial sales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October 2016.</w:t>
      </w:r>
    </w:p>
    <w:p>
      <w:pPr>
        <w:spacing w:after="0" w:line="211"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5-HT</w:t>
      </w:r>
      <w:r>
        <w:rPr>
          <w:rFonts w:ascii="Arial" w:cs="Arial" w:eastAsia="Arial" w:hAnsi="Arial"/>
          <w:sz w:val="13"/>
          <w:szCs w:val="13"/>
          <w:color w:val="auto"/>
        </w:rPr>
        <w:t>3</w:t>
      </w:r>
      <w:r>
        <w:rPr>
          <w:rFonts w:ascii="Arial" w:cs="Arial" w:eastAsia="Arial" w:hAnsi="Arial"/>
          <w:sz w:val="16"/>
          <w:szCs w:val="16"/>
          <w:color w:val="auto"/>
        </w:rPr>
        <w:t xml:space="preserve"> receptor antagonist that utilizes our Biochronomer Technology to maintain therapeutic levels of granisetron for ≥5 days. The SUSTOL global Phase 3 development program was comprised of two, large, guideline-based clinical studies that evaluated SUSTOL’s efficacy and safety in more than 2,000 patients with cancer. SUSTOL’s efficacy in preventing nausea and vomiting was evaluated in both the acute phase (0–24 hours following chemotherapy) and the delayed phase (24–120 hours following chemotherapy).</w:t>
      </w:r>
    </w:p>
    <w:p>
      <w:pPr>
        <w:spacing w:after="0" w:line="164"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SUSTOL is the first extended-release 5-HT</w:t>
      </w:r>
      <w:r>
        <w:rPr>
          <w:rFonts w:ascii="Arial" w:cs="Arial" w:eastAsia="Arial" w:hAnsi="Arial"/>
          <w:sz w:val="15"/>
          <w:szCs w:val="15"/>
          <w:color w:val="auto"/>
        </w:rPr>
        <w:t>3</w:t>
      </w:r>
      <w:r>
        <w:rPr>
          <w:rFonts w:ascii="Arial" w:cs="Arial" w:eastAsia="Arial" w:hAnsi="Arial"/>
          <w:sz w:val="18"/>
          <w:szCs w:val="18"/>
          <w:color w:val="auto"/>
        </w:rPr>
        <w:t xml:space="preserve"> receptor antagonist approved for the prevention of acute and delayed nausea and vomiting associated with both MEC and AC combination chemotherapy regimens. A standard of care in the treatment of breast cancer and other cancer types, AC regimens are among the most commonly prescribed HEC regimens, as defined by both the National Comprehensive Cancer Network (“NCCN”) and the American Society of Clinical Oncology (“ASCO”).</w:t>
      </w:r>
    </w:p>
    <w:p>
      <w:pPr>
        <w:spacing w:after="0" w:line="18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In February 2017, the NCCN included SUSTOL as a part of its NCCN Clinical Practice Guidelines in Oncology for Antiemesis Version 1.2017. The NCCN has given SUSTOL a Category 1 recommendation, the highest-level category of evidence and consensus, for use in the prevention of acute and delayed nausea and vomiting in patients receiving HEC or MEC regimens. The guidelines now identify SUSTOL as a “preferred” agent for preventing nausea and vomiting following MEC. Further, the guidelines highlight the unique, extended-release formulation of SUSTOL.</w:t>
      </w:r>
    </w:p>
    <w:p>
      <w:pPr>
        <w:spacing w:after="0" w:line="157"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 xml:space="preserve">In January 2018, </w:t>
      </w:r>
      <w:r>
        <w:rPr>
          <w:rFonts w:ascii="Arial" w:cs="Arial" w:eastAsia="Arial" w:hAnsi="Arial"/>
          <w:sz w:val="16"/>
          <w:szCs w:val="16"/>
          <w:color w:val="1E1E1E"/>
        </w:rPr>
        <w:t>a product-specific billing code, or permanent J-code (“J-code”), for SUSTOL became available. The new J-code was assigned by</w:t>
      </w:r>
      <w:r>
        <w:rPr>
          <w:rFonts w:ascii="Arial" w:cs="Arial" w:eastAsia="Arial" w:hAnsi="Arial"/>
          <w:sz w:val="16"/>
          <w:szCs w:val="16"/>
          <w:color w:val="auto"/>
        </w:rPr>
        <w:t xml:space="preserve"> </w:t>
      </w:r>
      <w:r>
        <w:rPr>
          <w:rFonts w:ascii="Arial" w:cs="Arial" w:eastAsia="Arial" w:hAnsi="Arial"/>
          <w:sz w:val="16"/>
          <w:szCs w:val="16"/>
          <w:color w:val="1E1E1E"/>
        </w:rPr>
        <w:t xml:space="preserve">the </w:t>
      </w:r>
      <w:r>
        <w:rPr>
          <w:rFonts w:ascii="Arial" w:cs="Arial" w:eastAsia="Arial" w:hAnsi="Arial"/>
          <w:sz w:val="16"/>
          <w:szCs w:val="16"/>
          <w:color w:val="000000"/>
        </w:rPr>
        <w:t>Centers for Medicare and Medicaid Services (“CMS”)</w:t>
      </w:r>
      <w:r>
        <w:rPr>
          <w:rFonts w:ascii="Arial" w:cs="Arial" w:eastAsia="Arial" w:hAnsi="Arial"/>
          <w:sz w:val="16"/>
          <w:szCs w:val="16"/>
          <w:color w:val="1E1E1E"/>
        </w:rPr>
        <w:t xml:space="preserve"> and has helped simplify the billing and reimbursement process for prescribers of SUSTOL.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CINVANTI</w:t>
      </w:r>
    </w:p>
    <w:p>
      <w:pPr>
        <w:spacing w:after="0" w:line="121"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 xml:space="preserve">CINVANTI is our second commercial product. CINVANTI was approved by the FDA in November 2017, and we commenced commercial sales in the U.S. in January 2018. </w:t>
      </w:r>
      <w:r>
        <w:rPr>
          <w:rFonts w:ascii="Arial" w:cs="Arial" w:eastAsia="Arial" w:hAnsi="Arial"/>
          <w:sz w:val="18"/>
          <w:szCs w:val="18"/>
          <w:color w:val="1E1E1E"/>
        </w:rPr>
        <w:t>In October 2019, the FDA approved our sNDA for CINVANTI to expand the indication and recommended dosage to include the</w:t>
      </w:r>
      <w:r>
        <w:rPr>
          <w:rFonts w:ascii="Arial" w:cs="Arial" w:eastAsia="Arial" w:hAnsi="Arial"/>
          <w:sz w:val="18"/>
          <w:szCs w:val="18"/>
          <w:color w:val="auto"/>
        </w:rPr>
        <w:t xml:space="preserve"> </w:t>
      </w:r>
      <w:r>
        <w:rPr>
          <w:rFonts w:ascii="Arial" w:cs="Arial" w:eastAsia="Arial" w:hAnsi="Arial"/>
          <w:sz w:val="18"/>
          <w:szCs w:val="18"/>
          <w:color w:val="1E1E1E"/>
        </w:rPr>
        <w:t>130 mg single-dose regimen for patients receiving MEC.</w:t>
      </w:r>
    </w:p>
    <w:p>
      <w:pPr>
        <w:spacing w:after="0" w:line="18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CINVANTI, in combination with 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w:t>
      </w:r>
    </w:p>
    <w:p>
      <w:pPr>
        <w:spacing w:after="0" w:line="171"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CINVANTI is an IV formulation of aprepitant, an NK</w:t>
      </w:r>
      <w:r>
        <w:rPr>
          <w:rFonts w:ascii="Arial" w:cs="Arial" w:eastAsia="Arial" w:hAnsi="Arial"/>
          <w:sz w:val="14"/>
          <w:szCs w:val="14"/>
          <w:color w:val="auto"/>
        </w:rPr>
        <w:t>1</w:t>
      </w:r>
      <w:r>
        <w:rPr>
          <w:rFonts w:ascii="Arial" w:cs="Arial" w:eastAsia="Arial" w:hAnsi="Arial"/>
          <w:sz w:val="17"/>
          <w:szCs w:val="17"/>
          <w:color w:val="auto"/>
        </w:rPr>
        <w:t xml:space="preserve"> receptor antagonist. CINVANTI is the first IV formulation to directly deliver aprepitant, the active ingredient in EMEND</w:t>
      </w:r>
      <w:r>
        <w:rPr>
          <w:rFonts w:ascii="Arial" w:cs="Arial" w:eastAsia="Arial" w:hAnsi="Arial"/>
          <w:sz w:val="14"/>
          <w:szCs w:val="14"/>
          <w:color w:val="auto"/>
        </w:rPr>
        <w:t>®</w:t>
      </w:r>
      <w:r>
        <w:rPr>
          <w:rFonts w:ascii="Arial" w:cs="Arial" w:eastAsia="Arial" w:hAnsi="Arial"/>
          <w:sz w:val="17"/>
          <w:szCs w:val="17"/>
          <w:color w:val="auto"/>
        </w:rPr>
        <w:t xml:space="preserve"> capsules. Aprepitant (including its prodrug, fosaprepitant) is the only single-agent NK</w:t>
      </w:r>
      <w:r>
        <w:rPr>
          <w:rFonts w:ascii="Arial" w:cs="Arial" w:eastAsia="Arial" w:hAnsi="Arial"/>
          <w:sz w:val="14"/>
          <w:szCs w:val="14"/>
          <w:color w:val="auto"/>
        </w:rPr>
        <w:t>1</w:t>
      </w:r>
      <w:r>
        <w:rPr>
          <w:rFonts w:ascii="Arial" w:cs="Arial" w:eastAsia="Arial" w:hAnsi="Arial"/>
          <w:sz w:val="17"/>
          <w:szCs w:val="17"/>
          <w:color w:val="auto"/>
        </w:rPr>
        <w:t xml:space="preserve"> receptor antagonist to significantly reduce nausea and vomiting in both the acute phase (0–24 hours after chemotherapy) and the delayed phase (24–120 hours after chemotherapy). CINVANTI is the first and only IV formulation of an NK</w:t>
      </w:r>
      <w:r>
        <w:rPr>
          <w:rFonts w:ascii="Arial" w:cs="Arial" w:eastAsia="Arial" w:hAnsi="Arial"/>
          <w:sz w:val="14"/>
          <w:szCs w:val="14"/>
          <w:color w:val="auto"/>
        </w:rPr>
        <w:t>1</w:t>
      </w:r>
      <w:r>
        <w:rPr>
          <w:rFonts w:ascii="Arial" w:cs="Arial" w:eastAsia="Arial" w:hAnsi="Arial"/>
          <w:sz w:val="17"/>
          <w:szCs w:val="17"/>
          <w:color w:val="auto"/>
        </w:rPr>
        <w:t xml:space="preserve"> receptor antagonist indicated for the prevention of acute and delayed nausea and vomiting associated with HEC and nausea and vomiting associated with MEC that is free of synthetic surfactants, including polysorbate 80.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right="180" w:firstLine="589"/>
        <w:spacing w:after="0" w:line="293" w:lineRule="auto"/>
        <w:rPr>
          <w:sz w:val="20"/>
          <w:szCs w:val="20"/>
          <w:color w:val="auto"/>
        </w:rPr>
      </w:pPr>
      <w:r>
        <w:rPr>
          <w:rFonts w:ascii="Arial" w:cs="Arial" w:eastAsia="Arial" w:hAnsi="Arial"/>
          <w:sz w:val="16"/>
          <w:szCs w:val="16"/>
          <w:color w:val="auto"/>
        </w:rPr>
        <w:t>NK</w:t>
      </w:r>
      <w:r>
        <w:rPr>
          <w:rFonts w:ascii="Arial" w:cs="Arial" w:eastAsia="Arial" w:hAnsi="Arial"/>
          <w:sz w:val="13"/>
          <w:szCs w:val="13"/>
          <w:color w:val="auto"/>
        </w:rPr>
        <w:t>1</w:t>
      </w:r>
      <w:r>
        <w:rPr>
          <w:rFonts w:ascii="Arial" w:cs="Arial" w:eastAsia="Arial" w:hAnsi="Arial"/>
          <w:sz w:val="16"/>
          <w:szCs w:val="16"/>
          <w:color w:val="auto"/>
        </w:rPr>
        <w:t xml:space="preserve"> receptor antagonists are typically used in combination with 5-HT</w:t>
      </w:r>
      <w:r>
        <w:rPr>
          <w:rFonts w:ascii="Arial" w:cs="Arial" w:eastAsia="Arial" w:hAnsi="Arial"/>
          <w:sz w:val="13"/>
          <w:szCs w:val="13"/>
          <w:color w:val="auto"/>
        </w:rPr>
        <w:t>3</w:t>
      </w:r>
      <w:r>
        <w:rPr>
          <w:rFonts w:ascii="Arial" w:cs="Arial" w:eastAsia="Arial" w:hAnsi="Arial"/>
          <w:sz w:val="16"/>
          <w:szCs w:val="16"/>
          <w:color w:val="auto"/>
        </w:rPr>
        <w:t xml:space="preserve"> receptor antagonists. The only other injectable NK</w:t>
      </w:r>
      <w:r>
        <w:rPr>
          <w:rFonts w:ascii="Arial" w:cs="Arial" w:eastAsia="Arial" w:hAnsi="Arial"/>
          <w:sz w:val="13"/>
          <w:szCs w:val="13"/>
          <w:color w:val="auto"/>
        </w:rPr>
        <w:t>1</w:t>
      </w:r>
      <w:r>
        <w:rPr>
          <w:rFonts w:ascii="Arial" w:cs="Arial" w:eastAsia="Arial" w:hAnsi="Arial"/>
          <w:sz w:val="16"/>
          <w:szCs w:val="16"/>
          <w:color w:val="auto"/>
        </w:rPr>
        <w:t xml:space="preserve"> receptor antagonist currently approved in the U.S. for both acute and delayed CINV, EMEND</w:t>
      </w:r>
      <w:r>
        <w:rPr>
          <w:rFonts w:ascii="Arial" w:cs="Arial" w:eastAsia="Arial" w:hAnsi="Arial"/>
          <w:sz w:val="13"/>
          <w:szCs w:val="13"/>
          <w:color w:val="auto"/>
        </w:rPr>
        <w:t>®</w:t>
      </w:r>
      <w:r>
        <w:rPr>
          <w:rFonts w:ascii="Arial" w:cs="Arial" w:eastAsia="Arial" w:hAnsi="Arial"/>
          <w:sz w:val="16"/>
          <w:szCs w:val="16"/>
          <w:color w:val="auto"/>
        </w:rPr>
        <w:t xml:space="preserve"> IV (fosaprepitant), contains polysorbate 80, a synthetic surfactant, which has been linked to hypersensitivity reactions, including anaphylaxis, and infusion site reactions. The CINVANTI formulation does not contain polysorbate 80 or any other synthetic surfactant. Our CINVANTI data has demonstrated the bioequivalence of CINVANTI to EMEND IV, supporting its efficacy for the prevention of both acute and delayed nausea and vomiting associated with HEC and nausea and vomiting associated with MEC. Results also showed CINVANTI was better tolerated in healthy volunteers than EMEND IV, with significantly fewer adverse events (“AEs”) reported with CINVANTI.</w:t>
      </w:r>
    </w:p>
    <w:p>
      <w:pPr>
        <w:spacing w:after="0" w:line="164"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In January 2019, a J-code for CINVANTI became available. The new J-code was assigned by CMS and has helped simplify the billing and reimbursement process for prescribers of CINVANTI.</w:t>
      </w:r>
    </w:p>
    <w:p>
      <w:pPr>
        <w:spacing w:after="0" w:line="17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 xml:space="preserve">In February 2019, the FDA </w:t>
      </w:r>
      <w:r>
        <w:rPr>
          <w:rFonts w:ascii="Arial" w:cs="Arial" w:eastAsia="Arial" w:hAnsi="Arial"/>
          <w:sz w:val="18"/>
          <w:szCs w:val="18"/>
          <w:color w:val="1E1E1E"/>
        </w:rPr>
        <w:t>approved our sNDA for CINVANTI, for IV use, which expanded the administration of CINVANTI beyond the initially</w:t>
      </w:r>
      <w:r>
        <w:rPr>
          <w:rFonts w:ascii="Arial" w:cs="Arial" w:eastAsia="Arial" w:hAnsi="Arial"/>
          <w:sz w:val="18"/>
          <w:szCs w:val="18"/>
          <w:color w:val="auto"/>
        </w:rPr>
        <w:t xml:space="preserve"> </w:t>
      </w:r>
      <w:r>
        <w:rPr>
          <w:rFonts w:ascii="Arial" w:cs="Arial" w:eastAsia="Arial" w:hAnsi="Arial"/>
          <w:sz w:val="18"/>
          <w:szCs w:val="18"/>
          <w:color w:val="1E1E1E"/>
        </w:rPr>
        <w:t>approved administration method (a 30-minute IV infusion) to include a 2-minute IV injection.</w:t>
      </w:r>
    </w:p>
    <w:p>
      <w:pPr>
        <w:spacing w:after="0" w:line="170" w:lineRule="exact"/>
        <w:rPr>
          <w:sz w:val="20"/>
          <w:szCs w:val="20"/>
          <w:color w:val="auto"/>
        </w:rPr>
      </w:pPr>
    </w:p>
    <w:p>
      <w:pPr>
        <w:ind w:right="240" w:firstLine="589"/>
        <w:spacing w:after="0" w:line="255" w:lineRule="auto"/>
        <w:rPr>
          <w:sz w:val="20"/>
          <w:szCs w:val="20"/>
          <w:color w:val="auto"/>
        </w:rPr>
      </w:pPr>
      <w:r>
        <w:rPr>
          <w:rFonts w:ascii="Arial" w:cs="Arial" w:eastAsia="Arial" w:hAnsi="Arial"/>
          <w:sz w:val="18"/>
          <w:szCs w:val="18"/>
          <w:color w:val="1E1E1E"/>
        </w:rPr>
        <w:t>In July 2020, we announced the initiation of the GUARDS-1 Study, a Phase 2 clinical study evaluating CINVANTI in early hospitalized patients with COVID-19. GUARDS-1, also referred to as Study HTX-019-202, is a randomized, placebo-controlled, double-blinded, Phase 2 study designed to investigate the efficacy and safety of adding daily dosing of CINVANTI for 14 days as a 2-minute intravenous injection to standard of care to reduce mortality and the need for assisted ventilation in early hospitalized adult patients with a confirmed severe acute respiratory syndrome coronavirus 2 (“SARS-CoV-2”) infection. The study will include up to approximately 100 adult patients who are hospitalized with a confirmed SARS-CoV-2 infection less than 48 hours prior to randomization.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HTX-019 for PONV</w:t>
      </w:r>
    </w:p>
    <w:p>
      <w:pPr>
        <w:spacing w:after="0" w:line="225"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HTX-019 is an investigational agent for the prevention of PONV. HTX-019 is an IV injectable emulsion formulation designed to directly deliver aprepitant, the active ingredient in EMEND capsules, which is the only NK</w:t>
      </w:r>
      <w:r>
        <w:rPr>
          <w:rFonts w:ascii="Arial" w:cs="Arial" w:eastAsia="Arial" w:hAnsi="Arial"/>
          <w:sz w:val="14"/>
          <w:szCs w:val="14"/>
          <w:color w:val="auto"/>
        </w:rPr>
        <w:t>1</w:t>
      </w:r>
      <w:r>
        <w:rPr>
          <w:rFonts w:ascii="Arial" w:cs="Arial" w:eastAsia="Arial" w:hAnsi="Arial"/>
          <w:sz w:val="17"/>
          <w:szCs w:val="17"/>
          <w:color w:val="auto"/>
        </w:rPr>
        <w:t xml:space="preserve"> receptor antagonist approved in the U.S. for the prevention of PONV in adults. The FDA-approved dose of oral EMEND is 40 mg for PONV, which is given within 3 hours prior to induction of anesthesia for surgery. An IND for HTX-019 for PONV was approved by the FDA in late September 2020. In a Phase 1 clinical trial, 32 mg of HTX-019 as a 30-second IV injection was demonstrated to be bioequivalent to oral aprepitant 40 mg. An NDA for HTX-019 is planned in late 2021 for prevention of PONV in adults.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Pain Management Product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ZYNRELEF (HTX-011)</w:t>
      </w:r>
    </w:p>
    <w:p>
      <w:pPr>
        <w:spacing w:after="0" w:line="22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1E1E1E"/>
        </w:rPr>
        <w:t xml:space="preserve">ZYNRELEF, our third approved product, was granted a marketing authorization by the EC in September 2020. ZYNRELEF is indicated for the treatment of somatic postoperative pain from small- to medium-sized surgical wounds in adults. The marketing authorization follows the EMA’s positive opinion from the CHMP in July 2020. The EC’s centralized marketing authorization is valid for the 27 countries that are members of the European Union, the other countries in the European Economic Area, and the United Kingdom. ZYNRELEF, a </w:t>
      </w:r>
      <w:r>
        <w:rPr>
          <w:rFonts w:ascii="Arial" w:cs="Arial" w:eastAsia="Arial" w:hAnsi="Arial"/>
          <w:sz w:val="17"/>
          <w:szCs w:val="17"/>
          <w:color w:val="000000"/>
        </w:rPr>
        <w:t>non-opioid, is a dual-acting, fixed-dose combination of the</w:t>
      </w:r>
      <w:r>
        <w:rPr>
          <w:rFonts w:ascii="Arial" w:cs="Arial" w:eastAsia="Arial" w:hAnsi="Arial"/>
          <w:sz w:val="17"/>
          <w:szCs w:val="17"/>
          <w:color w:val="1E1E1E"/>
        </w:rPr>
        <w:t xml:space="preserve"> </w:t>
      </w:r>
      <w:r>
        <w:rPr>
          <w:rFonts w:ascii="Arial" w:cs="Arial" w:eastAsia="Arial" w:hAnsi="Arial"/>
          <w:sz w:val="17"/>
          <w:szCs w:val="17"/>
          <w:color w:val="000000"/>
        </w:rPr>
        <w:t>local anesthetic bupivacaine with a low dose of the 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By delivering sustained levels of both a potent anesthetic and a local anti-inflammatory agent directly to the site of tissue injury, ZYNRELEF was designed to deliver superior pain relief while reducing the need for systemically administered pain medications such as opioids, which carry the risk of harmful side effects, abuse and addiction. As we build large-scale manufacturing capacity to meet the anticipated commercial demand in the U.S. and the rest of the world, we are developing a coordinated global marketing strategy. At this time, we anticipate making ZYNRELEF available to patients in Europe during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firstLine="589"/>
        <w:spacing w:after="0" w:line="269" w:lineRule="auto"/>
        <w:rPr>
          <w:sz w:val="20"/>
          <w:szCs w:val="20"/>
          <w:color w:val="auto"/>
        </w:rPr>
      </w:pPr>
      <w:r>
        <w:rPr>
          <w:rFonts w:ascii="Arial" w:cs="Arial" w:eastAsia="Arial" w:hAnsi="Arial"/>
          <w:sz w:val="17"/>
          <w:szCs w:val="17"/>
          <w:color w:val="auto"/>
        </w:rPr>
        <w:t xml:space="preserve">HTX-011 (ZYNRELEF in Europe) is an investigational agent in the U.S. and Canada. The FDA granted Breakthrough Therapy designation to HTX-011 and the NDA received Priority Review designation. A CRL was received from the FDA regarding the NDA for HTX-011 in June 2020. The CRL stated that the FDA is unable to approve the NDA in its present form based on the need for additional non-clinical information. Based on the complete review of the NDA, the FDA did not identify any clinical safety or efficacy issues or chemistry, manufacturing and controls issues. 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7"/>
          <w:szCs w:val="17"/>
          <w:color w:val="1E1E1E"/>
        </w:rPr>
        <w:t>Since receiving the CRL, we generated data showing that peak plasma levels (Cmax) of excipients in reproductive toxicology studies</w:t>
      </w:r>
      <w:r>
        <w:rPr>
          <w:rFonts w:ascii="Arial" w:cs="Arial" w:eastAsia="Arial" w:hAnsi="Arial"/>
          <w:sz w:val="17"/>
          <w:szCs w:val="17"/>
          <w:color w:val="auto"/>
        </w:rPr>
        <w:t xml:space="preserve"> </w:t>
      </w:r>
      <w:r>
        <w:rPr>
          <w:rFonts w:ascii="Arial" w:cs="Arial" w:eastAsia="Arial" w:hAnsi="Arial"/>
          <w:sz w:val="17"/>
          <w:szCs w:val="17"/>
          <w:color w:val="1E1E1E"/>
        </w:rPr>
        <w:t xml:space="preserve">are &gt;50- to &gt;200-fold higher than the levels observed in patients receiving the highest dose of HTX-011. These results provide validation of the previously submitted animal studies. At the Type A Meeting, the FDA agreed with the change to the manufacturing specification proposed by Heron to address the FDA’s concern and agreed with our proposal to bridge the clinical and nonclinical excipient exposure data to address the other 3 deficiencies. </w:t>
      </w:r>
      <w:r>
        <w:rPr>
          <w:rFonts w:ascii="Arial" w:cs="Arial" w:eastAsia="Arial" w:hAnsi="Arial"/>
          <w:sz w:val="17"/>
          <w:szCs w:val="17"/>
          <w:color w:val="000000"/>
        </w:rPr>
        <w:t>In November</w:t>
      </w:r>
      <w:r>
        <w:rPr>
          <w:rFonts w:ascii="Arial" w:cs="Arial" w:eastAsia="Arial" w:hAnsi="Arial"/>
          <w:sz w:val="17"/>
          <w:szCs w:val="17"/>
          <w:color w:val="1E1E1E"/>
        </w:rPr>
        <w:t xml:space="preserve"> </w:t>
      </w:r>
      <w:r>
        <w:rPr>
          <w:rFonts w:ascii="Arial" w:cs="Arial" w:eastAsia="Arial" w:hAnsi="Arial"/>
          <w:sz w:val="17"/>
          <w:szCs w:val="17"/>
          <w:color w:val="000000"/>
        </w:rPr>
        <w:t>2020, we resubmitted the NDA to the FDA for HTX-011 based on the outcome and final minutes of the Type A Meeting. The PDUFA goal date is May 12, 2021.</w:t>
      </w:r>
    </w:p>
    <w:p>
      <w:pPr>
        <w:spacing w:after="0" w:line="179"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1E1E1E"/>
        </w:rPr>
        <w:t>In November 2019, the New Drug Submission (“NDS”) for HTX-011 was accepted by Health Canada. We are working to respond to a list of questions received from Health Canada in July 2020, and we anticipate up to a 300-day review period following our responsive submission.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Pivotal Phase 3 Study Results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March 2018, we reported positive topline results from EPOCH 1 and EPOCH 2, our pivotal Phase 3 studies of HTX-011 in bunionectomy and hernia repair, respectively. All primary and key secondary endpoints were achieved in these studies. Furthermore, HTX-011 is the only long-acting local anesthetic to demonstrate in Phase 3 studies significantly reduced pain and opioid use compared to bupivacaine solution, the current standard-of-care local anesthetic for postoperative pain control, through 72 hours.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primary and key secondary endpoints for both Phase 3 studies were identical. The primary endpoint was pain intensity as measured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Area Under the Curve (“AUC”) 0–72 compared to placebo. Key secondary endpoints in order of evaluation were:</w:t>
      </w:r>
    </w:p>
    <w:p>
      <w:pPr>
        <w:spacing w:after="0" w:line="170" w:lineRule="exact"/>
        <w:rPr>
          <w:sz w:val="20"/>
          <w:szCs w:val="20"/>
          <w:color w:val="auto"/>
        </w:rPr>
      </w:pPr>
    </w:p>
    <w:p>
      <w:pPr>
        <w:ind w:left="1020" w:hanging="43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comparison of AUC 0–72 of pain intensity to bupivacaine solution;</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amount of opioid rescue medication consumption compared to placebo through 72 hours after surgery;</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proportion of patients who received no opioid rescue medication after surgery compared to bupivacaine solution;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opioid consumption through 72 hours after surgery compared to bupivacaine 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Bunionectomy—Study 301/EPOCH 1 Results</w:t>
      </w:r>
    </w:p>
    <w:p>
      <w:pPr>
        <w:spacing w:after="0" w:line="117" w:lineRule="exact"/>
        <w:rPr>
          <w:sz w:val="20"/>
          <w:szCs w:val="20"/>
          <w:color w:val="auto"/>
        </w:rPr>
      </w:pPr>
    </w:p>
    <w:p>
      <w:pPr>
        <w:jc w:val="both"/>
        <w:ind w:right="440" w:firstLine="589"/>
        <w:spacing w:after="0" w:line="263" w:lineRule="auto"/>
        <w:rPr>
          <w:sz w:val="20"/>
          <w:szCs w:val="20"/>
          <w:color w:val="auto"/>
        </w:rPr>
      </w:pPr>
      <w:r>
        <w:rPr>
          <w:rFonts w:ascii="Arial" w:cs="Arial" w:eastAsia="Arial" w:hAnsi="Arial"/>
          <w:sz w:val="18"/>
          <w:szCs w:val="18"/>
          <w:color w:val="auto"/>
        </w:rPr>
        <w:t>EPOCH 1 was a randomized, placebo- and active-controlled, double-blind, Phase 3 clinical study evaluating the efficacy and safety of locally administered HTX-011 at 60 mg compared to the standard dose of bupivacaine solution (50 mg) and placebo for postoperative pain control following bunionectomy surgery in 412 subjects. All primary and key secondary endpoints were achieved:</w:t>
      </w:r>
    </w:p>
    <w:p>
      <w:pPr>
        <w:spacing w:after="0" w:line="143" w:lineRule="exact"/>
        <w:rPr>
          <w:sz w:val="20"/>
          <w:szCs w:val="20"/>
          <w:color w:val="auto"/>
        </w:rPr>
      </w:pPr>
    </w:p>
    <w:p>
      <w:pPr>
        <w:ind w:left="1020" w:hanging="43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was a 27% reduction in pain intensity as measured by AUC 0–72 when comparing HTX-011 to placebo (p&lt;0.0001);</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was an 18% reduction in pain as measured by AUC 0–72 when comparing HTX-011 to bupivacaine solution (p=0.0002);</w:t>
      </w:r>
    </w:p>
    <w:p>
      <w:pPr>
        <w:spacing w:after="0" w:line="184"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72 hours post-surgery, patients receiving HTX-011 consumed 37% less opioids than placebo patients (p&lt;0.0001) and 25% less opioids than patients receiving bupivacaine solution (p=0.0022);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020" w:hanging="432"/>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 of patients receiving HTX-011 required no opioid medication for 72 hours post-surgery compared to only 2% receiving placebo (p&lt;0.0001) and 11% receiving the standard-of-care, bupivacaine solution (p=0.0001). These results parallel the significantly reduced incidence of severe pain in patients receiving HTX-011 compared to both placebo (36% reduction; p&lt;0.0001) and bupivacaine solution (29% reduction; p&lt;0.0001).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Hernia Repair—Study 302/EPOCH 2 Results</w:t>
      </w:r>
    </w:p>
    <w:p>
      <w:pPr>
        <w:spacing w:after="0" w:line="117" w:lineRule="exact"/>
        <w:rPr>
          <w:sz w:val="20"/>
          <w:szCs w:val="20"/>
          <w:color w:val="auto"/>
        </w:rPr>
      </w:pPr>
    </w:p>
    <w:p>
      <w:pPr>
        <w:jc w:val="both"/>
        <w:ind w:right="340" w:firstLine="589"/>
        <w:spacing w:after="0" w:line="263" w:lineRule="auto"/>
        <w:rPr>
          <w:sz w:val="20"/>
          <w:szCs w:val="20"/>
          <w:color w:val="auto"/>
        </w:rPr>
      </w:pPr>
      <w:r>
        <w:rPr>
          <w:rFonts w:ascii="Arial" w:cs="Arial" w:eastAsia="Arial" w:hAnsi="Arial"/>
          <w:sz w:val="18"/>
          <w:szCs w:val="18"/>
          <w:color w:val="auto"/>
        </w:rPr>
        <w:t>EPOCH 2 was a randomized, placebo- and active-controlled, double-blind, Phase 3 clinical study evaluating the efficacy and safety of locally administered HTX-011 at 300 mg compared to the standard dose of bupivacaine solution (75 mg) and placebo for postoperative pain control following hernia repair surgery in 418 subjects. All primary and key secondary endpoints were achieved:</w:t>
      </w:r>
    </w:p>
    <w:p>
      <w:pPr>
        <w:spacing w:after="0" w:line="143" w:lineRule="exact"/>
        <w:rPr>
          <w:sz w:val="20"/>
          <w:szCs w:val="20"/>
          <w:color w:val="auto"/>
        </w:rPr>
      </w:pPr>
    </w:p>
    <w:p>
      <w:pPr>
        <w:ind w:left="1020" w:hanging="43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was a 23% reduction in pain intensity as measured by AUC 0–72 when comparing HTX-011 to placebo (p=0.0004);</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was a 21% reduction in pain as measured by AUC 0–72 when comparing HTX-011 to bupivacaine solution (p&lt;0.0001);</w:t>
      </w:r>
    </w:p>
    <w:p>
      <w:pPr>
        <w:spacing w:after="0" w:line="184"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 72 hours post-surgery, patients receiving HTX-011 consumed 38% less opioids than placebo patients (p=0.0001) and 25% less opioids than patients receiving bupivacaine solution (p=0.0240); and</w:t>
      </w:r>
    </w:p>
    <w:p>
      <w:pPr>
        <w:spacing w:after="0" w:line="129" w:lineRule="exact"/>
        <w:rPr>
          <w:rFonts w:ascii="Arial" w:cs="Arial" w:eastAsia="Arial" w:hAnsi="Arial"/>
          <w:sz w:val="18"/>
          <w:szCs w:val="18"/>
          <w:color w:val="auto"/>
        </w:rPr>
      </w:pPr>
    </w:p>
    <w:p>
      <w:pPr>
        <w:ind w:left="1020" w:hanging="432"/>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 of patients receiving HTX-011 required no opioid medication for 72 hours post-surgery compared to only 22% receiving placebo (p&lt;0.0001) and 40% receiving the standard-of-care, bupivacaine solution (p=0.0486). These results parallel the significantly reduced incidence of severe pain in patients receiving HTX-011 compared to both placebo (40% reduction; p&lt;0.0001) and bupivacaine solution (19% reduction; p=0.0372).</w:t>
      </w:r>
    </w:p>
    <w:p>
      <w:pPr>
        <w:spacing w:after="0" w:line="79"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HTX-011 was well tolerated in both Phase 3 studies, with a safety profile comparable to placebo and bupivacaine solution. There were no drug-related SAEs or discontinuations due to drug-related AEs in HTX-011-treated patients, and there were fewer opioid-related AEs in HTX-011-treated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Fast Track Designation</w:t>
      </w:r>
    </w:p>
    <w:p>
      <w:pPr>
        <w:spacing w:after="0" w:line="117"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 October 2017, we were granted Fast Track designation for HTX-011 from the FDA for local administration into the surgical site to reduce postoperative pain and the need for opioid analgesics for 72 hours. Fast Track designation is intended to facilitate the development and expedite the review of new therapies to treat serious conditions with unmet medical needs by providing sponsors with the opportunity for frequent interactions with the FDA.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Breakthrough Therapy Designation</w:t>
      </w:r>
    </w:p>
    <w:p>
      <w:pPr>
        <w:spacing w:after="0" w:line="11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In June 2018, we were granted Breakthrough Therapy designation for HTX-011 from the FDA for postoperative pain management. Breakthrough Therapy designation is designed to expedite the development and review of drugs that are intended to treat serious conditions and for which preliminary clinical evidence indicates substantial improvement over available therapies on clinically significant endpoint(s). Breakthrough Therapy designation was granted for HTX-011 based on the results of Phase 2 studies and two completed Phase 3 studies, which showed that HTX-011 produced significant reductions in both pain intensity and the need for opioids through 72 hours post-surgery compared to placebo and bupivacaine solution, the standard of care.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HTX-034</w:t>
      </w:r>
    </w:p>
    <w:p>
      <w:pPr>
        <w:spacing w:after="0" w:line="121" w:lineRule="exact"/>
        <w:rPr>
          <w:sz w:val="20"/>
          <w:szCs w:val="20"/>
          <w:color w:val="auto"/>
        </w:rPr>
      </w:pPr>
    </w:p>
    <w:p>
      <w:pPr>
        <w:ind w:right="40" w:firstLine="589"/>
        <w:spacing w:after="0" w:line="219" w:lineRule="exact"/>
        <w:rPr>
          <w:sz w:val="20"/>
          <w:szCs w:val="20"/>
          <w:color w:val="auto"/>
        </w:rPr>
      </w:pPr>
      <w:r>
        <w:rPr>
          <w:rFonts w:ascii="Arial" w:cs="Arial" w:eastAsia="Arial" w:hAnsi="Arial"/>
          <w:sz w:val="16"/>
          <w:szCs w:val="16"/>
          <w:color w:val="1E1E1E"/>
        </w:rPr>
        <w:t xml:space="preserve">HTX-034, </w:t>
      </w:r>
      <w:r>
        <w:rPr>
          <w:rFonts w:ascii="Arial" w:cs="Arial" w:eastAsia="Arial" w:hAnsi="Arial"/>
          <w:sz w:val="16"/>
          <w:szCs w:val="16"/>
          <w:color w:val="000000"/>
        </w:rPr>
        <w:t>our next-generation product candidate for postoperative pain management, is</w:t>
      </w:r>
      <w:r>
        <w:rPr>
          <w:rFonts w:ascii="Arial" w:cs="Arial" w:eastAsia="Arial" w:hAnsi="Arial"/>
          <w:sz w:val="16"/>
          <w:szCs w:val="16"/>
          <w:color w:val="1E1E1E"/>
        </w:rPr>
        <w:t xml:space="preserve"> an investigational non-opioid, fixed-dose combination, extended</w:t>
      </w:r>
      <w:r>
        <w:rPr>
          <w:rFonts w:ascii="MS PGothic" w:cs="MS PGothic" w:eastAsia="MS PGothic" w:hAnsi="MS PGothic"/>
          <w:sz w:val="16"/>
          <w:szCs w:val="16"/>
          <w:color w:val="1E1E1E"/>
        </w:rPr>
        <w:t>‑</w:t>
      </w:r>
      <w:r>
        <w:rPr>
          <w:rFonts w:ascii="Arial" w:cs="Arial" w:eastAsia="Arial" w:hAnsi="Arial"/>
          <w:sz w:val="16"/>
          <w:szCs w:val="16"/>
          <w:color w:val="1E1E1E"/>
        </w:rPr>
        <w:t xml:space="preserve">release solution of the local anesthetic bupivacaine, the nonsteroidal anti-inflammatory drug meloxicam and an additional agent that further potentiates the activity of bupivacaine. HTX-034 is formulated in the same proprietary polymer as HTX-011 </w:t>
      </w:r>
      <w:r>
        <w:rPr>
          <w:rFonts w:ascii="Arial" w:cs="Arial" w:eastAsia="Arial" w:hAnsi="Arial"/>
          <w:sz w:val="16"/>
          <w:szCs w:val="16"/>
          <w:color w:val="000000"/>
        </w:rPr>
        <w:t>(ZYNRELEF in Europe)</w:t>
      </w:r>
      <w:r>
        <w:rPr>
          <w:rFonts w:ascii="Arial" w:cs="Arial" w:eastAsia="Arial" w:hAnsi="Arial"/>
          <w:sz w:val="16"/>
          <w:szCs w:val="16"/>
          <w:color w:val="1E1E1E"/>
        </w:rPr>
        <w:t>.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w:t>
      </w:r>
    </w:p>
    <w:p>
      <w:pPr>
        <w:spacing w:after="0" w:line="9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 xml:space="preserve">In May 2020, we initiated a Phase 1b/2 clinical study in patients undergoing bunionectomy of HTX-034. </w:t>
      </w:r>
      <w:r>
        <w:rPr>
          <w:rFonts w:ascii="Arial" w:cs="Arial" w:eastAsia="Arial" w:hAnsi="Arial"/>
          <w:sz w:val="17"/>
          <w:szCs w:val="17"/>
          <w:color w:val="1E1E1E"/>
        </w:rPr>
        <w:t>In the Phase 1b portion of this Phase 1b/2</w:t>
      </w:r>
      <w:r>
        <w:rPr>
          <w:rFonts w:ascii="Arial" w:cs="Arial" w:eastAsia="Arial" w:hAnsi="Arial"/>
          <w:sz w:val="17"/>
          <w:szCs w:val="17"/>
          <w:color w:val="auto"/>
        </w:rPr>
        <w:t xml:space="preserve"> </w:t>
      </w:r>
      <w:r>
        <w:rPr>
          <w:rFonts w:ascii="Arial" w:cs="Arial" w:eastAsia="Arial" w:hAnsi="Arial"/>
          <w:sz w:val="17"/>
          <w:szCs w:val="17"/>
          <w:color w:val="1E1E1E"/>
        </w:rPr>
        <w:t>double-blind, randomized, active-controlled, dose-escalation study in 33 patients undergoing bunionectomy, the reduction in pain intensity observed was greater with the lowest dose of HTX-034 evaluated (containing 21.7 mg of bupivacaine plus meloxicam and aprepitant) than with the bupivacaine 50 mg solution through 96 hours. In addition, 45.5% of HTX-034 patients remained opioid-free through Day 15 with median opioid consumption of 2.5 milligram morphine equivalents (same as one 5 mg oxycodone pill) through 72-hours, a 71% reduction compared to bupivacaine solution. We expect to initiate the expanded Phase 2 portion of the study for HTX-034 in the first quarter of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Biochronomer Technology</w:t>
      </w:r>
    </w:p>
    <w:p>
      <w:pPr>
        <w:spacing w:after="0" w:line="11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Our proprietary Biochronomer Technology is designed to deliver therapeutic levels of a wide range of otherwise short-acting pharmacological agents over a period from days to weeks with a single administration. Our Biochronomer Technology consists of polymers that have been the subject of comprehensive animal and human toxicology studies that have shown evidence of the safety of the polymer. When administered, the polymers undergo controlled hydrolysis, resulting in a controlled, sustained release of the pharmacological agent encapsulated within the Biochronomer-based composition. Furthermore, our Biochronomer Technology is designed to permit more than one pharmacological agent to be incorporated, such that multimodal therapy can be delivered with a single administration.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Our U.S.-based sales and marketing team consists of 72 employees as of February 5, 2021. The sales and marketing infrastructure includes a targeted, oncology sales force to establish relationships with a focused group of oncologists, oncology nurses and pharmacists. Additionally, the sales and marketing teams manage relationships with key accounts, such as managed care organizations, group purchasing organizations, hospital systems, oncology group networks, payors and government accounts. The sales force is supported by sales management, internal sales support, an internal marketing group and distribution support. We are currently building our U.S.-based sales and marketing team to support the commercialization of HTX-011, if approved.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CINVANTI and SUSTOL are distributed in the U.S. through a limited number of specialty distributors and full line wholesalers (collectively, “Customers”) that resell to healthcare providers and hospitals, the end users of CINVANTI and SUSTOL.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biotechnology and pharmaceutical industries are extremely competitive. Our potential competitors are many in number and include major and mid-sized pharmaceutical and biotechnology companies. Many of our potential competitors have significantly more financial, technical and other resources than we do, which may give them a competitive advantage. In addition, they may have substantially more experience in effecting strategic combinations, in-licensing technology, developing drugs, obtaining regulatory approvals and manufacturing and marketing products. We cannot give any assurances that we can compete effectively with these other biotechnology and pharmaceutical companies. Our Products compete in, and our Product Candidates and any other products that we may develop or discover, if approved, will compete in, highly competitive markets. Our potential competitors in these markets may succeed in developing products that could render our Products and our Product Candidates obsolete or noncompetitive.</w:t>
      </w:r>
    </w:p>
    <w:p>
      <w:pPr>
        <w:spacing w:after="0" w:line="166"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CINVANTI faces significant competition. NK</w:t>
      </w:r>
      <w:r>
        <w:rPr>
          <w:rFonts w:ascii="Arial" w:cs="Arial" w:eastAsia="Arial" w:hAnsi="Arial"/>
          <w:sz w:val="15"/>
          <w:szCs w:val="15"/>
          <w:color w:val="auto"/>
        </w:rPr>
        <w:t>1</w:t>
      </w:r>
      <w:r>
        <w:rPr>
          <w:rFonts w:ascii="Arial" w:cs="Arial" w:eastAsia="Arial" w:hAnsi="Arial"/>
          <w:sz w:val="18"/>
          <w:szCs w:val="18"/>
          <w:color w:val="auto"/>
        </w:rPr>
        <w:t xml:space="preserve"> receptor antagonists are administered for the prevention of CINV, in combination with 5-HT</w:t>
      </w:r>
      <w:r>
        <w:rPr>
          <w:rFonts w:ascii="Arial" w:cs="Arial" w:eastAsia="Arial" w:hAnsi="Arial"/>
          <w:sz w:val="15"/>
          <w:szCs w:val="15"/>
          <w:color w:val="auto"/>
        </w:rPr>
        <w:t>3</w:t>
      </w:r>
      <w:r>
        <w:rPr>
          <w:rFonts w:ascii="Arial" w:cs="Arial" w:eastAsia="Arial" w:hAnsi="Arial"/>
          <w:sz w:val="18"/>
          <w:szCs w:val="18"/>
          <w:color w:val="auto"/>
        </w:rPr>
        <w:t xml:space="preserve"> receptor antagonists, to augment the therapeutic effect of the 5-HT</w:t>
      </w:r>
      <w:r>
        <w:rPr>
          <w:rFonts w:ascii="Arial" w:cs="Arial" w:eastAsia="Arial" w:hAnsi="Arial"/>
          <w:sz w:val="15"/>
          <w:szCs w:val="15"/>
          <w:color w:val="auto"/>
        </w:rPr>
        <w:t>3</w:t>
      </w:r>
      <w:r>
        <w:rPr>
          <w:rFonts w:ascii="Arial" w:cs="Arial" w:eastAsia="Arial" w:hAnsi="Arial"/>
          <w:sz w:val="18"/>
          <w:szCs w:val="18"/>
          <w:color w:val="auto"/>
        </w:rPr>
        <w:t xml:space="preserve"> receptor antagonist. Currently available NK</w:t>
      </w:r>
      <w:r>
        <w:rPr>
          <w:rFonts w:ascii="Arial" w:cs="Arial" w:eastAsia="Arial" w:hAnsi="Arial"/>
          <w:sz w:val="15"/>
          <w:szCs w:val="15"/>
          <w:color w:val="auto"/>
        </w:rPr>
        <w:t>1</w:t>
      </w:r>
      <w:r>
        <w:rPr>
          <w:rFonts w:ascii="Arial" w:cs="Arial" w:eastAsia="Arial" w:hAnsi="Arial"/>
          <w:sz w:val="18"/>
          <w:szCs w:val="18"/>
          <w:color w:val="auto"/>
        </w:rPr>
        <w:t xml:space="preserve"> receptor antagonists include: generic versions of EMEND</w:t>
      </w:r>
      <w:r>
        <w:rPr>
          <w:rFonts w:ascii="Arial" w:cs="Arial" w:eastAsia="Arial" w:hAnsi="Arial"/>
          <w:sz w:val="15"/>
          <w:szCs w:val="15"/>
          <w:color w:val="auto"/>
        </w:rPr>
        <w:t>®</w:t>
      </w:r>
      <w:r>
        <w:rPr>
          <w:rFonts w:ascii="Arial" w:cs="Arial" w:eastAsia="Arial" w:hAnsi="Arial"/>
          <w:sz w:val="18"/>
          <w:szCs w:val="18"/>
          <w:color w:val="auto"/>
        </w:rPr>
        <w:t xml:space="preserve"> IV (fosaprepitant); EMEND</w:t>
      </w:r>
      <w:r>
        <w:rPr>
          <w:rFonts w:ascii="Arial" w:cs="Arial" w:eastAsia="Arial" w:hAnsi="Arial"/>
          <w:sz w:val="15"/>
          <w:szCs w:val="15"/>
          <w:color w:val="auto"/>
        </w:rPr>
        <w:t>®</w:t>
      </w:r>
      <w:r>
        <w:rPr>
          <w:rFonts w:ascii="Arial" w:cs="Arial" w:eastAsia="Arial" w:hAnsi="Arial"/>
          <w:sz w:val="18"/>
          <w:szCs w:val="18"/>
          <w:color w:val="auto"/>
        </w:rPr>
        <w:t xml:space="preserve"> IV (fosaprepitant, marketed by Merck &amp; Co); EMEND</w:t>
      </w:r>
      <w:r>
        <w:rPr>
          <w:rFonts w:ascii="Arial" w:cs="Arial" w:eastAsia="Arial" w:hAnsi="Arial"/>
          <w:sz w:val="15"/>
          <w:szCs w:val="15"/>
          <w:color w:val="auto"/>
        </w:rPr>
        <w:t>®</w:t>
      </w:r>
      <w:r>
        <w:rPr>
          <w:rFonts w:ascii="Arial" w:cs="Arial" w:eastAsia="Arial" w:hAnsi="Arial"/>
          <w:sz w:val="18"/>
          <w:szCs w:val="18"/>
          <w:color w:val="auto"/>
        </w:rPr>
        <w:t xml:space="preserve"> (aprepitant, marketed by Merck &amp; Co, Inc.); AKYNZEO</w:t>
      </w:r>
      <w:r>
        <w:rPr>
          <w:rFonts w:ascii="Arial" w:cs="Arial" w:eastAsia="Arial" w:hAnsi="Arial"/>
          <w:sz w:val="15"/>
          <w:szCs w:val="15"/>
          <w:color w:val="auto"/>
        </w:rPr>
        <w:t>®</w:t>
      </w:r>
      <w:r>
        <w:rPr>
          <w:rFonts w:ascii="Arial" w:cs="Arial" w:eastAsia="Arial" w:hAnsi="Arial"/>
          <w:sz w:val="18"/>
          <w:szCs w:val="18"/>
          <w:color w:val="auto"/>
        </w:rPr>
        <w:t xml:space="preserve"> (palonosetron, a 5-HT</w:t>
      </w:r>
      <w:r>
        <w:rPr>
          <w:rFonts w:ascii="Arial" w:cs="Arial" w:eastAsia="Arial" w:hAnsi="Arial"/>
          <w:sz w:val="15"/>
          <w:szCs w:val="15"/>
          <w:color w:val="auto"/>
        </w:rPr>
        <w:t>3</w:t>
      </w:r>
      <w:r>
        <w:rPr>
          <w:rFonts w:ascii="Arial" w:cs="Arial" w:eastAsia="Arial" w:hAnsi="Arial"/>
          <w:sz w:val="18"/>
          <w:szCs w:val="18"/>
          <w:color w:val="auto"/>
        </w:rPr>
        <w:t xml:space="preserve"> receptor antagonist, combined with netupitant, an NK</w:t>
      </w:r>
      <w:r>
        <w:rPr>
          <w:rFonts w:ascii="Arial" w:cs="Arial" w:eastAsia="Arial" w:hAnsi="Arial"/>
          <w:sz w:val="15"/>
          <w:szCs w:val="15"/>
          <w:color w:val="auto"/>
        </w:rPr>
        <w:t>1</w:t>
      </w:r>
      <w:r>
        <w:rPr>
          <w:rFonts w:ascii="Arial" w:cs="Arial" w:eastAsia="Arial" w:hAnsi="Arial"/>
          <w:sz w:val="18"/>
          <w:szCs w:val="18"/>
          <w:color w:val="auto"/>
        </w:rPr>
        <w:t xml:space="preserve"> receptor antagonist, marketed by Helsinn Therapeutics); VARUBI</w:t>
      </w:r>
      <w:r>
        <w:rPr>
          <w:rFonts w:ascii="Arial" w:cs="Arial" w:eastAsia="Arial" w:hAnsi="Arial"/>
          <w:sz w:val="15"/>
          <w:szCs w:val="15"/>
          <w:color w:val="auto"/>
        </w:rPr>
        <w:t>®</w:t>
      </w:r>
      <w:r>
        <w:rPr>
          <w:rFonts w:ascii="Arial" w:cs="Arial" w:eastAsia="Arial" w:hAnsi="Arial"/>
          <w:sz w:val="18"/>
          <w:szCs w:val="18"/>
          <w:color w:val="auto"/>
        </w:rPr>
        <w:t xml:space="preserve"> (rolapitant, marketed by TerSera Therapeutics LLC) and other products that include an NK</w:t>
      </w:r>
      <w:r>
        <w:rPr>
          <w:rFonts w:ascii="Arial" w:cs="Arial" w:eastAsia="Arial" w:hAnsi="Arial"/>
          <w:sz w:val="15"/>
          <w:szCs w:val="15"/>
          <w:color w:val="auto"/>
        </w:rPr>
        <w:t>1</w:t>
      </w:r>
      <w:r>
        <w:rPr>
          <w:rFonts w:ascii="Arial" w:cs="Arial" w:eastAsia="Arial" w:hAnsi="Arial"/>
          <w:sz w:val="18"/>
          <w:szCs w:val="18"/>
          <w:color w:val="auto"/>
        </w:rPr>
        <w:t xml:space="preserve"> receptor antagonist that reach the market for the prevention of CINV.</w:t>
      </w:r>
    </w:p>
    <w:p>
      <w:pPr>
        <w:spacing w:after="0" w:line="192"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If we are able to successfully develop CINVANTI for the treatment of COVID-19, we will face significant competition. At present, VEKLURY</w:t>
      </w:r>
      <w:r>
        <w:rPr>
          <w:rFonts w:ascii="Arial" w:cs="Arial" w:eastAsia="Arial" w:hAnsi="Arial"/>
          <w:sz w:val="14"/>
          <w:szCs w:val="14"/>
          <w:color w:val="auto"/>
        </w:rPr>
        <w:t>®</w:t>
      </w:r>
      <w:r>
        <w:rPr>
          <w:rFonts w:ascii="Arial" w:cs="Arial" w:eastAsia="Arial" w:hAnsi="Arial"/>
          <w:sz w:val="17"/>
          <w:szCs w:val="17"/>
          <w:color w:val="auto"/>
        </w:rPr>
        <w:t xml:space="preserve"> (remdesivir, marketed by Gilead in the U.S.) is the only treatment approved for COVID-19. However, we will potentially also compete with: Bamlanivimab (a neutralizing IgG1 mAb directed against the spike protein of SARS-CoV-2, developed by AbCellera in collaboration with and marketed by Eli Lilly for the treatment and prevention of the novel coronavirus infection, and has been granted Emergency Use Authorization, globally, both alone and in combination with Estesevimab); Etesevimab (recombinant fully human monoclonal neutralizing antibody, developed by Shanghai Junshi Biosciences and marketed by Eli Lilly for the prevention and treatment of COVID-19 infection and has been granted Emergency Use Authorization, globally, both alone and in combination with Bamlanivimab); Casirivimab and imdevimab (a dual anti-viral antibody cocktail which developed by Regeneron (US rights) in collaboration with Roche (ex-US rights), for the prevention and treatment of COVID-19, and has been granted Emergency Use Authorization, globally); tradipitant (an NK</w:t>
      </w:r>
      <w:r>
        <w:rPr>
          <w:rFonts w:ascii="Arial" w:cs="Arial" w:eastAsia="Arial" w:hAnsi="Arial"/>
          <w:sz w:val="14"/>
          <w:szCs w:val="14"/>
          <w:color w:val="auto"/>
        </w:rPr>
        <w:t>1</w:t>
      </w:r>
      <w:r>
        <w:rPr>
          <w:rFonts w:ascii="Arial" w:cs="Arial" w:eastAsia="Arial" w:hAnsi="Arial"/>
          <w:sz w:val="17"/>
          <w:szCs w:val="17"/>
          <w:color w:val="auto"/>
        </w:rPr>
        <w:t xml:space="preserve"> receptor antagonist currently under investigation by Vanda Pharmaceuticals Inc. pursuant to an exclusive worldwide license agreement with Eli Lilly and Company and not approved anywhere globally for any use); and potentially other products in development for the treatment of COVID-19 that reach the market.</w:t>
      </w:r>
    </w:p>
    <w:p>
      <w:pPr>
        <w:spacing w:after="0" w:line="182" w:lineRule="exact"/>
        <w:rPr>
          <w:sz w:val="20"/>
          <w:szCs w:val="20"/>
          <w:color w:val="auto"/>
        </w:rPr>
      </w:pPr>
    </w:p>
    <w:p>
      <w:pPr>
        <w:ind w:right="160" w:firstLine="589"/>
        <w:spacing w:after="0" w:line="289" w:lineRule="auto"/>
        <w:rPr>
          <w:sz w:val="20"/>
          <w:szCs w:val="20"/>
          <w:color w:val="auto"/>
        </w:rPr>
      </w:pPr>
      <w:r>
        <w:rPr>
          <w:rFonts w:ascii="Arial" w:cs="Arial" w:eastAsia="Arial" w:hAnsi="Arial"/>
          <w:sz w:val="16"/>
          <w:szCs w:val="16"/>
          <w:color w:val="auto"/>
        </w:rPr>
        <w:t>SUSTOL faces significant competition. Currently available 5-HT</w:t>
      </w:r>
      <w:r>
        <w:rPr>
          <w:rFonts w:ascii="Arial" w:cs="Arial" w:eastAsia="Arial" w:hAnsi="Arial"/>
          <w:sz w:val="13"/>
          <w:szCs w:val="13"/>
          <w:color w:val="auto"/>
        </w:rPr>
        <w:t>3</w:t>
      </w:r>
      <w:r>
        <w:rPr>
          <w:rFonts w:ascii="Arial" w:cs="Arial" w:eastAsia="Arial" w:hAnsi="Arial"/>
          <w:sz w:val="16"/>
          <w:szCs w:val="16"/>
          <w:color w:val="auto"/>
        </w:rPr>
        <w:t xml:space="preserve"> receptor antagonists include: AKYNZEO</w:t>
      </w:r>
      <w:r>
        <w:rPr>
          <w:rFonts w:ascii="Arial" w:cs="Arial" w:eastAsia="Arial" w:hAnsi="Arial"/>
          <w:sz w:val="13"/>
          <w:szCs w:val="13"/>
          <w:color w:val="auto"/>
        </w:rPr>
        <w:t>®</w:t>
      </w:r>
      <w:r>
        <w:rPr>
          <w:rFonts w:ascii="Arial" w:cs="Arial" w:eastAsia="Arial" w:hAnsi="Arial"/>
          <w:sz w:val="16"/>
          <w:szCs w:val="16"/>
          <w:color w:val="auto"/>
        </w:rPr>
        <w:t xml:space="preserve"> (palonosetron, a 5-HT</w:t>
      </w:r>
      <w:r>
        <w:rPr>
          <w:rFonts w:ascii="Arial" w:cs="Arial" w:eastAsia="Arial" w:hAnsi="Arial"/>
          <w:sz w:val="13"/>
          <w:szCs w:val="13"/>
          <w:color w:val="auto"/>
        </w:rPr>
        <w:t>3</w:t>
      </w:r>
      <w:r>
        <w:rPr>
          <w:rFonts w:ascii="Arial" w:cs="Arial" w:eastAsia="Arial" w:hAnsi="Arial"/>
          <w:sz w:val="16"/>
          <w:szCs w:val="16"/>
          <w:color w:val="auto"/>
        </w:rPr>
        <w:t xml:space="preserve"> receptor antagonist, combined with netupitant, an NK</w:t>
      </w:r>
      <w:r>
        <w:rPr>
          <w:rFonts w:ascii="Arial" w:cs="Arial" w:eastAsia="Arial" w:hAnsi="Arial"/>
          <w:sz w:val="13"/>
          <w:szCs w:val="13"/>
          <w:color w:val="auto"/>
        </w:rPr>
        <w:t>1</w:t>
      </w:r>
      <w:r>
        <w:rPr>
          <w:rFonts w:ascii="Arial" w:cs="Arial" w:eastAsia="Arial" w:hAnsi="Arial"/>
          <w:sz w:val="16"/>
          <w:szCs w:val="16"/>
          <w:color w:val="auto"/>
        </w:rPr>
        <w:t xml:space="preserve"> receptor antagonist, marketed by Helsinn Therapeutics (U.S.), Inc.); SANCUSO</w:t>
      </w:r>
      <w:r>
        <w:rPr>
          <w:rFonts w:ascii="Arial" w:cs="Arial" w:eastAsia="Arial" w:hAnsi="Arial"/>
          <w:sz w:val="13"/>
          <w:szCs w:val="13"/>
          <w:color w:val="auto"/>
        </w:rPr>
        <w:t>®</w:t>
      </w:r>
      <w:r>
        <w:rPr>
          <w:rFonts w:ascii="Arial" w:cs="Arial" w:eastAsia="Arial" w:hAnsi="Arial"/>
          <w:sz w:val="16"/>
          <w:szCs w:val="16"/>
          <w:color w:val="auto"/>
        </w:rPr>
        <w:t xml:space="preserve"> (granisetron transdermal patch, marketed by ProStrakan Group Plc); and generic products including ondansetron (formerly marketed by GlaxoSmithKline plc as ZOFRAN), granisetron (formerly marketed by Hoffman-La Roche, Inc. as KYTRIL) and palonosetron (formerly marketed by Eisai in conjunction with Helsinn Healthcare S.A. as ALOXI). Currently, palonosetron is the only 5-HT</w:t>
      </w:r>
      <w:r>
        <w:rPr>
          <w:rFonts w:ascii="Arial" w:cs="Arial" w:eastAsia="Arial" w:hAnsi="Arial"/>
          <w:sz w:val="13"/>
          <w:szCs w:val="13"/>
          <w:color w:val="auto"/>
        </w:rPr>
        <w:t>3</w:t>
      </w:r>
      <w:r>
        <w:rPr>
          <w:rFonts w:ascii="Arial" w:cs="Arial" w:eastAsia="Arial" w:hAnsi="Arial"/>
          <w:sz w:val="16"/>
          <w:szCs w:val="16"/>
          <w:color w:val="auto"/>
        </w:rPr>
        <w:t xml:space="preserve"> receptor antagonist other than SUSTOL that is approved for the prevention of delayed CINV associated with MEC regimens.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which is considered to be a HEC regimen by the NCCN and ASCO. No other 5-HT</w:t>
      </w:r>
      <w:r>
        <w:rPr>
          <w:rFonts w:ascii="Arial" w:cs="Arial" w:eastAsia="Arial" w:hAnsi="Arial"/>
          <w:sz w:val="13"/>
          <w:szCs w:val="13"/>
          <w:color w:val="auto"/>
        </w:rPr>
        <w:t>3</w:t>
      </w:r>
      <w:r>
        <w:rPr>
          <w:rFonts w:ascii="Arial" w:cs="Arial" w:eastAsia="Arial" w:hAnsi="Arial"/>
          <w:sz w:val="16"/>
          <w:szCs w:val="16"/>
          <w:color w:val="auto"/>
        </w:rPr>
        <w:t xml:space="preserve"> receptor antagonist is specifically approved for the prevention of delayed CINV associated with a HEC regimen.</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right="120" w:firstLine="589"/>
        <w:spacing w:after="0" w:line="275" w:lineRule="auto"/>
        <w:rPr>
          <w:sz w:val="20"/>
          <w:szCs w:val="20"/>
          <w:color w:val="auto"/>
        </w:rPr>
      </w:pPr>
      <w:r>
        <w:rPr>
          <w:rFonts w:ascii="Arial" w:cs="Arial" w:eastAsia="Arial" w:hAnsi="Arial"/>
          <w:sz w:val="17"/>
          <w:szCs w:val="17"/>
          <w:color w:val="auto"/>
        </w:rPr>
        <w:t>ZYNRELEF will, and HTX-034, if successfully developed for postoperative pain management in the EU will also, face significant competition in the EU. Currently there are numerous generic local anesthetics and other non-opioids for postoperative pain management available in the EU, and other products in development for postoperative pain management may also reach the EU market. For example, in November 2020 the EC granted a marketing authorization for EXPAREL</w:t>
      </w:r>
      <w:r>
        <w:rPr>
          <w:rFonts w:ascii="Arial" w:cs="Arial" w:eastAsia="Arial" w:hAnsi="Arial"/>
          <w:sz w:val="14"/>
          <w:szCs w:val="14"/>
          <w:color w:val="auto"/>
        </w:rPr>
        <w:t>®</w:t>
      </w:r>
      <w:r>
        <w:rPr>
          <w:rFonts w:ascii="Arial" w:cs="Arial" w:eastAsia="Arial" w:hAnsi="Arial"/>
          <w:sz w:val="17"/>
          <w:szCs w:val="17"/>
          <w:color w:val="auto"/>
        </w:rPr>
        <w:t xml:space="preserve"> (bupivacaine liposome injectable suspension, marketed by Pacira BioSciences, Inc. in the U.S.) for postsurgical analgesia. Pacira BioSciences, Inc. has indicated that it anticipates launching EXPAREL in the EU in the second half of 2021.</w:t>
      </w:r>
    </w:p>
    <w:p>
      <w:pPr>
        <w:spacing w:after="0" w:line="176"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If we are able to successfully develop HTX-011 or HTX-034 for postoperative pain management in the U.S., we will compete with MARCAINE</w:t>
      </w:r>
      <w:r>
        <w:rPr>
          <w:rFonts w:ascii="Arial" w:cs="Arial" w:eastAsia="Arial" w:hAnsi="Arial"/>
          <w:sz w:val="13"/>
          <w:szCs w:val="13"/>
          <w:color w:val="auto"/>
        </w:rPr>
        <w:t>TM</w:t>
      </w:r>
      <w:r>
        <w:rPr>
          <w:rFonts w:ascii="Arial" w:cs="Arial" w:eastAsia="Arial" w:hAnsi="Arial"/>
          <w:sz w:val="16"/>
          <w:szCs w:val="16"/>
          <w:color w:val="auto"/>
        </w:rPr>
        <w:t xml:space="preserve"> (bupivacaine hydrochloride injection, solution, marketed by Pfizer Inc.) and generic forms of bupivacaine; NAROPIN</w:t>
      </w:r>
      <w:r>
        <w:rPr>
          <w:rFonts w:ascii="Arial" w:cs="Arial" w:eastAsia="Arial" w:hAnsi="Arial"/>
          <w:sz w:val="13"/>
          <w:szCs w:val="13"/>
          <w:color w:val="auto"/>
        </w:rPr>
        <w:t>®</w:t>
      </w:r>
      <w:r>
        <w:rPr>
          <w:rFonts w:ascii="Arial" w:cs="Arial" w:eastAsia="Arial" w:hAnsi="Arial"/>
          <w:sz w:val="16"/>
          <w:szCs w:val="16"/>
          <w:color w:val="auto"/>
        </w:rPr>
        <w:t xml:space="preserve"> (ropivacaine, marketed by Fresenius Kabi USA, LLC) and generic forms of ropivacaine; EXPAREL</w:t>
      </w:r>
      <w:r>
        <w:rPr>
          <w:rFonts w:ascii="Arial" w:cs="Arial" w:eastAsia="Arial" w:hAnsi="Arial"/>
          <w:sz w:val="13"/>
          <w:szCs w:val="13"/>
          <w:color w:val="auto"/>
        </w:rPr>
        <w:t>®</w:t>
      </w:r>
      <w:r>
        <w:rPr>
          <w:rFonts w:ascii="Arial" w:cs="Arial" w:eastAsia="Arial" w:hAnsi="Arial"/>
          <w:sz w:val="16"/>
          <w:szCs w:val="16"/>
          <w:color w:val="auto"/>
        </w:rPr>
        <w:t xml:space="preserve"> (bupivacaine liposome injectable suspension, marketed by Pacira BioSciences, Inc.); Xaracoll</w:t>
      </w:r>
      <w:r>
        <w:rPr>
          <w:rFonts w:ascii="Arial" w:cs="Arial" w:eastAsia="Arial" w:hAnsi="Arial"/>
          <w:sz w:val="13"/>
          <w:szCs w:val="13"/>
          <w:color w:val="auto"/>
        </w:rPr>
        <w:t>®</w:t>
      </w:r>
      <w:r>
        <w:rPr>
          <w:rFonts w:ascii="Arial" w:cs="Arial" w:eastAsia="Arial" w:hAnsi="Arial"/>
          <w:sz w:val="16"/>
          <w:szCs w:val="16"/>
          <w:color w:val="auto"/>
        </w:rPr>
        <w:t xml:space="preserve"> (bupivacaine HCl implant, marketed by Innocoll Pharmaceuticals Limited); POSIMIR</w:t>
      </w:r>
      <w:r>
        <w:rPr>
          <w:rFonts w:ascii="Arial" w:cs="Arial" w:eastAsia="Arial" w:hAnsi="Arial"/>
          <w:sz w:val="13"/>
          <w:szCs w:val="13"/>
          <w:color w:val="auto"/>
        </w:rPr>
        <w:t>®</w:t>
      </w:r>
      <w:r>
        <w:rPr>
          <w:rFonts w:ascii="Arial" w:cs="Arial" w:eastAsia="Arial" w:hAnsi="Arial"/>
          <w:sz w:val="16"/>
          <w:szCs w:val="16"/>
          <w:color w:val="auto"/>
        </w:rPr>
        <w:t xml:space="preserve"> (marketed by Durect Corporation); ANJESO</w:t>
      </w:r>
      <w:r>
        <w:rPr>
          <w:rFonts w:ascii="Arial" w:cs="Arial" w:eastAsia="Arial" w:hAnsi="Arial"/>
          <w:sz w:val="13"/>
          <w:szCs w:val="13"/>
          <w:color w:val="auto"/>
        </w:rPr>
        <w:t>®</w:t>
      </w:r>
      <w:r>
        <w:rPr>
          <w:rFonts w:ascii="Arial" w:cs="Arial" w:eastAsia="Arial" w:hAnsi="Arial"/>
          <w:sz w:val="16"/>
          <w:szCs w:val="16"/>
          <w:color w:val="auto"/>
        </w:rPr>
        <w:t xml:space="preserve"> (meloxicam injection, marketed by Baudax Bio, Inc.); OFIRMEV</w:t>
      </w:r>
      <w:r>
        <w:rPr>
          <w:rFonts w:ascii="Arial" w:cs="Arial" w:eastAsia="Arial" w:hAnsi="Arial"/>
          <w:sz w:val="13"/>
          <w:szCs w:val="13"/>
          <w:color w:val="auto"/>
        </w:rPr>
        <w:t>®</w:t>
      </w:r>
      <w:r>
        <w:rPr>
          <w:rFonts w:ascii="Arial" w:cs="Arial" w:eastAsia="Arial" w:hAnsi="Arial"/>
          <w:sz w:val="16"/>
          <w:szCs w:val="16"/>
          <w:color w:val="auto"/>
        </w:rPr>
        <w:t xml:space="preserve"> (acetaminophen injection, marketed by Mallinckrodt Pharmaceuticals) and generic forms of IV acetaminophen; and potentially other products in development for postoperative pain management that reach the U.S. market.</w:t>
      </w:r>
    </w:p>
    <w:p>
      <w:pPr>
        <w:spacing w:after="0" w:line="164"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If we are able to successfully develop HTX-011 or HTX-034 for postoperative pain management in Canada, we will compete with MARCAINE</w:t>
      </w:r>
      <w:r>
        <w:rPr>
          <w:rFonts w:ascii="Arial" w:cs="Arial" w:eastAsia="Arial" w:hAnsi="Arial"/>
          <w:sz w:val="13"/>
          <w:szCs w:val="13"/>
          <w:color w:val="auto"/>
        </w:rPr>
        <w:t>TM</w:t>
      </w:r>
      <w:r>
        <w:rPr>
          <w:rFonts w:ascii="Arial" w:cs="Arial" w:eastAsia="Arial" w:hAnsi="Arial"/>
          <w:sz w:val="16"/>
          <w:szCs w:val="16"/>
          <w:color w:val="auto"/>
        </w:rPr>
        <w:t xml:space="preserve"> (bupivacaine hydrochloride injection, solution, marketed by Pfizer Inc.); SENSORCAINE</w:t>
      </w:r>
      <w:r>
        <w:rPr>
          <w:rFonts w:ascii="Arial" w:cs="Arial" w:eastAsia="Arial" w:hAnsi="Arial"/>
          <w:sz w:val="13"/>
          <w:szCs w:val="13"/>
          <w:color w:val="auto"/>
        </w:rPr>
        <w:t>®</w:t>
      </w:r>
      <w:r>
        <w:rPr>
          <w:rFonts w:ascii="Arial" w:cs="Arial" w:eastAsia="Arial" w:hAnsi="Arial"/>
          <w:sz w:val="16"/>
          <w:szCs w:val="16"/>
          <w:color w:val="auto"/>
        </w:rPr>
        <w:t xml:space="preserve"> (bupivacaine and epinephrine injection, marketed by Aspen Pharmacare Canada); NAROPIN</w:t>
      </w:r>
      <w:r>
        <w:rPr>
          <w:rFonts w:ascii="Arial" w:cs="Arial" w:eastAsia="Arial" w:hAnsi="Arial"/>
          <w:sz w:val="13"/>
          <w:szCs w:val="13"/>
          <w:color w:val="auto"/>
        </w:rPr>
        <w:t>®</w:t>
      </w:r>
      <w:r>
        <w:rPr>
          <w:rFonts w:ascii="Arial" w:cs="Arial" w:eastAsia="Arial" w:hAnsi="Arial"/>
          <w:sz w:val="16"/>
          <w:szCs w:val="16"/>
          <w:color w:val="auto"/>
        </w:rPr>
        <w:t xml:space="preserve"> (ropivacaine and hydrochloride, marketed by Aspen Pharmacare Canada); and potentially other products in development for postoperative pain management that reach the Canadian market, including potentially EXPAREL</w:t>
      </w:r>
      <w:r>
        <w:rPr>
          <w:rFonts w:ascii="Arial" w:cs="Arial" w:eastAsia="Arial" w:hAnsi="Arial"/>
          <w:sz w:val="13"/>
          <w:szCs w:val="13"/>
          <w:color w:val="auto"/>
        </w:rPr>
        <w:t>®</w:t>
      </w:r>
      <w:r>
        <w:rPr>
          <w:rFonts w:ascii="Arial" w:cs="Arial" w:eastAsia="Arial" w:hAnsi="Arial"/>
          <w:sz w:val="16"/>
          <w:szCs w:val="16"/>
          <w:color w:val="auto"/>
        </w:rPr>
        <w:t xml:space="preserve"> (bupivacaine liposome injectable suspension, marketed by Pacira BioSciences, Inc. in the U.S.), for which a New Drug Submission was validated by Health Canada.</w:t>
      </w:r>
    </w:p>
    <w:p>
      <w:pPr>
        <w:spacing w:after="0" w:line="16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If we are able to successfully develop HTX-019 for the treatment of PONV, we will compete with generic aprepitant, generic ondansetron, the current standard of care, and BARHEMSYS</w:t>
      </w:r>
      <w:r>
        <w:rPr>
          <w:rFonts w:ascii="Arial" w:cs="Arial" w:eastAsia="Arial" w:hAnsi="Arial"/>
          <w:sz w:val="15"/>
          <w:szCs w:val="15"/>
          <w:color w:val="auto"/>
        </w:rPr>
        <w:t>®</w:t>
      </w:r>
      <w:r>
        <w:rPr>
          <w:rFonts w:ascii="Arial" w:cs="Arial" w:eastAsia="Arial" w:hAnsi="Arial"/>
          <w:sz w:val="18"/>
          <w:szCs w:val="18"/>
          <w:color w:val="auto"/>
        </w:rPr>
        <w:t xml:space="preserve"> (amisulpride, marketed by Acacia Pharma Group Plc) for the prevention and treatment of PONV; TAK-951 (a peptide agonist under development (PH2) by Takeda Pharmaceutical Company Limited for PONV and not approved anywhere globally for any use); and potentially other products in development for PONV management that reach the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Clinical Supplies</w:t>
      </w:r>
    </w:p>
    <w:p>
      <w:pPr>
        <w:spacing w:after="0" w:line="229"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do not own or operate manufacturing facilities for the production of commercial or clinical quantities of any product, including our Products and Product Candidates. We currently rely on a small number of third-party manufacturers to produce compounds used in our product development and commercial activities and expect to continue to do so to meet the preclinical and clinical requirements of our potential products and for all of our commercial needs. We currently have long-term commercial supply agreements with certain third-party manufacturers. Our manufacturing and processing agreements require that all third-party contract manufacturers and processors produce active pharmaceutical ingredients and finished products in accordance with the FDA’s current Good Manufacturing Practices (“cGMP”) and all other applicable laws and regulations. We maintain confidentiality agreements with potential and existing manufacturers in order to protect our proprietary rights related to our Products, our Product Candidates and our Biochronomer Technology.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 w:name="page14"/>
    <w:bookmarkEnd w:id="13"/>
    <w:p>
      <w:pPr>
        <w:ind w:right="20" w:firstLine="589"/>
        <w:spacing w:after="0" w:line="272" w:lineRule="auto"/>
        <w:rPr>
          <w:sz w:val="20"/>
          <w:szCs w:val="20"/>
          <w:color w:val="auto"/>
        </w:rPr>
      </w:pPr>
      <w:r>
        <w:rPr>
          <w:rFonts w:ascii="Arial" w:cs="Arial" w:eastAsia="Arial" w:hAnsi="Arial"/>
          <w:sz w:val="17"/>
          <w:szCs w:val="17"/>
          <w:color w:val="auto"/>
        </w:rPr>
        <w:t>Some of the critical materials and components used in manufacturing our Products and our Product Candidates are sourced from single suppliers. An interruption in the supply of a key material could significantly delay our research and development process or increase our expenses for commercialization or development of products. Specialized materials must often be manufactured for the first time for use in drug delivery technologies, or materials may be used in the technologies in a manner that is different from their customary commercial uses. The quality of materials can be critical to the performance of a drug delivery technology, so a reliable source that provides a consistent supply of materials is important. Materials or components needed for our drug delivery technologies may be difficult to obtain on commercially reasonable terms, particularly when relatively small quantities are required or if the materials traditionally have not been used in pharmaceutical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success will depend in large part on our ability to:</w:t>
      </w:r>
    </w:p>
    <w:p>
      <w:pPr>
        <w:spacing w:after="0" w:line="185" w:lineRule="exact"/>
        <w:rPr>
          <w:sz w:val="20"/>
          <w:szCs w:val="20"/>
          <w:color w:val="auto"/>
        </w:rPr>
      </w:pPr>
    </w:p>
    <w:p>
      <w:pPr>
        <w:ind w:left="1020" w:right="980" w:hanging="432"/>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international and domestic patents and other legal protections for the proprietary technology, inventions and improvements we consider important to our business;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prosecute and defend our patents;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preserve our trade secrets;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without infringing the patents and proprietary rights of other parties.</w:t>
      </w:r>
    </w:p>
    <w:p>
      <w:pPr>
        <w:spacing w:after="0" w:line="225"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We intend to continue to seek appropriate patent protection for the product candidates in our research and development programs and their uses by filing patent applications in the U.S. and other selected countries. We intend for these patent applications to cover, where possible, claims for composition of matter, medical uses, processes for preparation and formulations.</w:t>
      </w:r>
    </w:p>
    <w:p>
      <w:pPr>
        <w:spacing w:after="0" w:line="184"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We have filed a number of U.S. patent applications on inventions relating to the composition of a variety of polymers, specific products, product groups and processing technology. As of December 31, 2020, we had a total of 31 issued U.S. patents and an additional 81 issued (or registered) foreign patents. The patents on the bioerodible technologies expire between May 2021 and March 2026. Currently, CINVANTI is covered by 7 patents issued in the U.S. with expiration dates of September 2035 and by one patent issued in Japan. Currently, SUSTOL is covered by 8 patents issued in the U.S. and by 35 patents issued in foreign countries including Austria, Belgium, Canada, Denmark, Finland, France, Germany, Greece, Hong Kong, Ireland, Italy, Japan, Luxembourg, Netherlands, Portugal, Spain, Sweden, Switzerland, Taiwan, and the United Kingdom. U.S. patents covering SUSTOL have expiration dates ranging from May 2021 to September 2024; foreign patents covering SUSTOL have expiration dates ranging from May 2021 to September 2025. HTX-011 (ZYNRELEF in Europe) is protected by 11 patents issued in the U.S. and by 61 patents issued in foreign countries including Albania, Australia, Austria, Belgium, Bulgaria, Canada, Croatia, Cyprus, Czech Republic, Denmark, Estonia, Finland, France, Germany, Greece, Hungary, Iceland, Ireland, Italy, Japan, Latvia, Lithuania, Luxembourg, Macedonia, Malta, Mexico, Monaco, Netherlands, Norway, Poland, Portugal, Romania, Serbia, Slovakia, Slovenia, Spain, Sweden, Switzerland, Taiwan, Turkey and the United Kingdom. U.S. patents covering HTX-011 have expiration dates ranging from May 2021 to April 2035; foreign patents covering HTX-011 (ZYNRELEF in Europe) have expiration dates ranging from May 2021 to April 2035. HTX-019 is covered by patents issued in the U.S. with expiration dates of September 2035 and by one patent issued in Japan. HTX-034 is protected by 8 patents issued in the U.S. and by 43 patents issued in foreign countries including Albania, Australia, Austria, Belgium, Bulgaria, Canada, Croatia, Cyprus, Czech Republic, Denmark, Estonia, Finland, France, Germany, Greece, Hungary, Iceland, Ireland, Italy, Japan, Latvia, Lithuania, Luxembourg, Macedonia, Malta, Mexico, Monaco, Netherlands, Norway, Poland, Portugal, Romania, Serbia, Slovakia, Slovenia, Spain, Sweden, Switzerland, Taiwan, Turkey and the United Kingdom. U.S. patents covering HTX-034 have expiration dates ranging from March 2034 to April 2035; foreign patents covering HTX-034 have expiration dates ranging from March 2034 to April 2035. Our policy is to actively seek patent protection in the U.S. and to pursue equivalent patent claims in selected foreign countries, thereby seeking patent coverage for novel technologies and compositions of matter that may be commercially important to the development of our business. Granted patents include claims covering the product composition, methods of use and methods of preparation. Our existing patents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560"/>
        <w:spacing w:after="0" w:line="277" w:lineRule="auto"/>
        <w:rPr>
          <w:sz w:val="20"/>
          <w:szCs w:val="20"/>
          <w:color w:val="auto"/>
        </w:rPr>
      </w:pPr>
      <w:r>
        <w:rPr>
          <w:rFonts w:ascii="Arial" w:cs="Arial" w:eastAsia="Arial" w:hAnsi="Arial"/>
          <w:sz w:val="18"/>
          <w:szCs w:val="18"/>
          <w:color w:val="auto"/>
        </w:rPr>
        <w:t>may not cover future products, additional patents may not be issued and current patents, or patents issued in the future, may not provide meaningful protection or prove to be of commercial benefit.</w:t>
      </w:r>
    </w:p>
    <w:p>
      <w:pPr>
        <w:spacing w:after="0" w:line="170"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Although we believe that our rights under patent applications we own provide a competitive advantage, the patent positions of pharmaceutical and biotechnology companies are highly uncertain and involve complex legal and factual questions. We may not be able to develop patentable products or processes, and may not be able to obtain patents from pending applications. Even if patent claims are allowed, the claims may not issue, or in the event of issuance, may not be sufficient to protect the technology owned by or licensed to us. Any patents or patent rights that we obtain may be circumvented, challenged or invalidated by our competitors.</w:t>
      </w:r>
    </w:p>
    <w:p>
      <w:pPr>
        <w:spacing w:after="0" w:line="188" w:lineRule="exact"/>
        <w:rPr>
          <w:sz w:val="20"/>
          <w:szCs w:val="20"/>
          <w:color w:val="auto"/>
        </w:rPr>
      </w:pPr>
    </w:p>
    <w:p>
      <w:pPr>
        <w:ind w:right="380" w:firstLine="589"/>
        <w:spacing w:after="0" w:line="257" w:lineRule="auto"/>
        <w:rPr>
          <w:sz w:val="20"/>
          <w:szCs w:val="20"/>
          <w:color w:val="auto"/>
        </w:rPr>
      </w:pPr>
      <w:r>
        <w:rPr>
          <w:rFonts w:ascii="Arial" w:cs="Arial" w:eastAsia="Arial" w:hAnsi="Arial"/>
          <w:sz w:val="18"/>
          <w:szCs w:val="18"/>
          <w:color w:val="auto"/>
        </w:rPr>
        <w:t>We also rely on trade secrets, proprietary know-how and continuing innovation to develop and maintain our competitive position. We seek protection of these trade secrets, proprietary know-how and any continuing innovation, in part, through confidentiality and proprietary information agreements. However, these agreements may not provide meaningful protection for, or adequate remedies to protect, our technology in the event of unauthorized use or disclosure of information. Furthermore, our trade secrets may otherwise become known to, or be independently developed by, our competitors.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Regulation</w:t>
      </w:r>
    </w:p>
    <w:p>
      <w:pPr>
        <w:spacing w:after="0" w:line="225"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Pharmaceutical products that we market in the U.S. are subject to extensive government regulation. Likewise, if we receive approvals to market and distribute any such products abroad, they would also be subject to extensive foreign government regulation. Compliance with these regulations has not had a material effect on our capital expenditures, earnings, or competitive position to date, but new regulations or amendments to existing regulations to make them more stringent could have such an effect in the future. We cannot estimate the expenses we may incur to comply with potential new laws or changes to existing laws, or the other potential effects these laws may have on our business.</w:t>
      </w:r>
    </w:p>
    <w:p>
      <w:pPr>
        <w:spacing w:after="0" w:line="1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the U.S., the FDA regulates pharmaceutical products. FDA regulations govern the testing, research and development activities, manufacturing, quality, storage, advertising, promotion, labeling, sale and distribution of pharmaceutical products. Accordingly, there is a rigorous process for the approval of new drugs and ongoing oversight of marketed products. We are also subject to foreign regulatory requirements governing clinical trials and drug products if products are tested or marketed abroad. The approval process outside the U.S. varies from jurisdiction to jurisdiction and the time required may be longer or shorter than that required for FDA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U.S.</w:t>
      </w:r>
    </w:p>
    <w:p>
      <w:pPr>
        <w:spacing w:after="0" w:line="11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FDA testing and approval process requires substantial time, effort and money. The FDA approval process for new drugs includes, without limitation:</w:t>
      </w:r>
    </w:p>
    <w:p>
      <w:pPr>
        <w:spacing w:after="0" w:line="130" w:lineRule="exact"/>
        <w:rPr>
          <w:sz w:val="20"/>
          <w:szCs w:val="20"/>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preclinical studies;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in the U.S. of an IND, for clinical trials conducted in the U.S.;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safety and efficacy of the product;</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and review of an NDA in the U.S.;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facilities used in the manufacturing of the drug to assess compliance with the FDA’s current cGMP regulations.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ind w:firstLine="589"/>
        <w:spacing w:after="0" w:line="275" w:lineRule="auto"/>
        <w:rPr>
          <w:sz w:val="20"/>
          <w:szCs w:val="20"/>
          <w:color w:val="auto"/>
        </w:rPr>
      </w:pPr>
      <w:r>
        <w:rPr>
          <w:rFonts w:ascii="Arial" w:cs="Arial" w:eastAsia="Arial" w:hAnsi="Arial"/>
          <w:sz w:val="17"/>
          <w:szCs w:val="17"/>
          <w:color w:val="auto"/>
        </w:rPr>
        <w:t>The FDA monitors the progress of trials conducted in the U.S. under an IND and may, at its discretion, re-evaluate, alter, suspend or terminate testing based on the data accumulated to that point and the FDA’s risk/benefit assessment with regard to the patients enrolled in the trial. The FDA may also place a hold on one or more clinical trials conducted under an IND for a drug if it deems warranted. Furthermore, even after regulatory approval of an NDA is obtained, under certain circumstances, such as later discovery of previously unknown problems, the FDA can withdraw approval or subject the drug to additional restrictions. We have not experienced any FDA recalls related to any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Testing</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Preclinical studies include laboratory evaluation of the product and animal studies to assess the potential safety and effectiveness of the product. Most of these studies must be performed according to Good Laboratory Practices (“GLP”), a system of management controls for laboratories and research organizations to ensure the consistency and reliability of results.</w:t>
      </w:r>
    </w:p>
    <w:p>
      <w:pPr>
        <w:spacing w:after="0" w:line="184"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An IND is the request for authorization from the FDA to administer an investigational new drug product to humans. The IND includes information regarding the preclinical studies, the investigational product’s chemistry and manufacturing, supporting data and literature and the investigational plan and protocol(s). Clinical trials may begin 30 days after an IND is received, unless the FDA raises concerns or questions about the conduct of the clinical trials. If concerns or questions are raised, an IND sponsor and the FDA must resolve any outstanding concerns before clinical trials can proceed. An IND must become effective before human clinical trials begin. We have filed INDs in the U.S. and Clinical Trial Applications (“CTAs”) in the EU, and we may file additional INDs and CTAs in the future. We cannot assure that submission of any additional INDs or CTAs for any of our Product Candidates will result in authorization to commence clinical trials.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Clinical trials involve the administration of the product candidate that is the subject of the trial to volunteers or patients under the supervision of a qualified principal investigator and in accordance with a clinical trial protocol, which sets forth details, such as the study objectives, enrollment criteria and the safety and effectiveness criteria to be evaluated. Each clinical trial must be reviewed and approved at each institution at which the study will be conducted by an independent Institutional Review Board in the U.S., referred to as an Ethics Committee in the EU and other markets or Research Ethics Board (“REB”) in Canada. The Institutional Review Board, Ethics Committee or REB (hereafter collectively referred to as “IRB”) will consider, among other things, ethical factors, safety of human subjects and the possible liability of the institution arising from the conduct of the proposed clinical trial. In addition, clinical trials in the U.S. and other regions must be performed according to current Good Clinical Practices, which are enumerated in FDA regulations and guidance documents. Some studies include oversight by an independent group of experts, known as a data safety monitoring board, which authorizes whether a study may move forward based on certain data from the study and may stop the clinical trial if it determines that there is an unacceptable safety risk for subjects or other grounds.</w:t>
      </w:r>
    </w:p>
    <w:p>
      <w:pPr>
        <w:spacing w:after="0" w:line="18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FDA or other regulatory authorities may order the temporary, or permanent, discontinuation of a clinical trial at any time, or impose other sanctions, if it or they believe that the clinical trial is not being conducted in accordance with regulatory requirements or presents an unacceptable risk to the clinical trial patients. An IRB may also require the clinical trial at the site to be halted, either temporarily or permanently, for failure to comply with the IRB’s requirements, or it may impose other conditions.</w:t>
      </w:r>
    </w:p>
    <w:p>
      <w:pPr>
        <w:spacing w:after="0" w:line="18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Clinical trials typically are conducted in sequential phases: Phases 1, 2, 3 and 4. The phases may overlap. The FDA may require that we suspend clinical trials at any time on various grounds, including if the FDA makes a finding that the subjects participating in the trial are being exposed to an unacceptable health risk.</w:t>
      </w:r>
    </w:p>
    <w:p>
      <w:pPr>
        <w:spacing w:after="0" w:line="18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Phase 1 clinical trials, the investigational product is usually tested on a small number of healthy volunteers to determine safety, any adverse effects, proper dosage, absorption, metabolism, distribution, excretion and other drug effects. Follow-on Phase 1b clinical trials may also evaluate efficacy with respect to trial participants.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100" w:firstLine="589"/>
        <w:spacing w:after="0" w:line="311" w:lineRule="auto"/>
        <w:rPr>
          <w:sz w:val="20"/>
          <w:szCs w:val="20"/>
          <w:color w:val="auto"/>
        </w:rPr>
      </w:pPr>
      <w:r>
        <w:rPr>
          <w:rFonts w:ascii="Arial" w:cs="Arial" w:eastAsia="Arial" w:hAnsi="Arial"/>
          <w:sz w:val="16"/>
          <w:szCs w:val="16"/>
          <w:color w:val="auto"/>
        </w:rPr>
        <w:t>In Phase 2 clinical trials, the investigational product is usually tested on a limited number of patients (generally up to several hundred) to preliminarily evaluate the efficacy of the drug for specific, targeted indications, to determine dosage tolerance and optimal dosage, and to identify possible adverse effects and safety risks. Multiple Phase 2 clinical trials may be conducted to obtain information prior to beginning Phase 3 clinical trials.</w:t>
      </w:r>
    </w:p>
    <w:p>
      <w:pPr>
        <w:spacing w:after="0" w:line="149"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In Phase 3 clinical trials, the investigational product is administered to an expanded patient population to confirm proof of concept and efficacy claims, provide evidence of clinical efficacy and to further test for safety, generally at multiple clinical sites.</w:t>
      </w:r>
    </w:p>
    <w:p>
      <w:pPr>
        <w:spacing w:after="0" w:line="170"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In Phase 4 clinical trials or other post-approval commitments, additional studies and patient follow-up are conducted to gain experience from the treatment of patients in the intended therapeutic indication. The FDA and other regulatory authorities may require a commitment to conduct post-approval Phase 4 studies as a condition of approval. Additional studies and follow-up may be conducted to document a clinical benefit where drugs are approved under accelerated approval regulations and based on surrogate endpoints. In clinical trials, surrogate endpoints are alternative measurements of the symptoms of a disease or condition that are substituted for measurements of observable clinical symptoms. In the U.S., failure to timely conduct Phase 4 clinical trials and follow-up could result in withdrawal of approval for products approved under accelerated approval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 Review and Approval in the U.S.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data from the clinical trials, together with preclinical data and other supporting information that establishes a drug candidate’s safety, are submitted to the FDA in the form of an NDA, or sNDA (for approval of a new indication if the product candidate is already approved for another indication). Under applicable laws and FDA regulations, the FDA reviews the NDA within 60 days of receipt of the NDA submission to determine whether the application will be accepted for filing based on the FDA’s threshold determination that the NDA is sufficiently complete to permit substantive review. If deemed complete, the FDA will “file” the NDA, thereby triggering substantive review of the application. The FDA can refuse to file any NDA that it deems incomplete or not properly reviewable.</w:t>
      </w:r>
    </w:p>
    <w:p>
      <w:pPr>
        <w:spacing w:after="0" w:line="19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FDA has established internal substantive review goals of 10 months for most NDAs. The FDA has various programs, including Breakthrough Therapy, Fast Track and Priority Review, which are intended to expedite or simplify the process for reviewing drug candidates, and/or provide for approval based on surrogate endpoints. Even if a drug candidate qualifies for one or more of these programs, the FDA may later decide that the drug candidate no longer meets the conditions for qualification or that the period for FDA review or approval will not be shortened. Generally, drug candidates that may be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drugs to treat serious diseases and fill an unmet medical need. The request may be made at the time of IND submission and generally no later than the pre-NDA meeting. The FDA will respond within 60 calendar days of receipt of the request. Priority Review designation, which is requested at the time of an NDA submission, is designed to give drugs that offer major advances in treatment or provide a treatment where no adequate therapy exists, an initial review within 6 months as compared to a standard review time of 10 months. Although Fast Track and Priority Review do not affect the standards for approval, the FDA will attempt to facilitate early and frequent meetings with a sponsor of a Fast Track designated drug and expedite review of the application for a drug designated for Priority Review. Accelerated approval provides an expedited approval of drugs that treat serious diseases and that fill an unmet medical need based on a surrogate endpoint. The FDA, however, is not legally required to complete its review within these periods, and these performance goals may change over time.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40" w:firstLine="589"/>
        <w:spacing w:after="0" w:line="270" w:lineRule="auto"/>
        <w:rPr>
          <w:sz w:val="20"/>
          <w:szCs w:val="20"/>
          <w:color w:val="auto"/>
        </w:rPr>
      </w:pPr>
      <w:r>
        <w:rPr>
          <w:rFonts w:ascii="Arial" w:cs="Arial" w:eastAsia="Arial" w:hAnsi="Arial"/>
          <w:sz w:val="17"/>
          <w:szCs w:val="17"/>
          <w:color w:val="auto"/>
        </w:rPr>
        <w:t>If the FDA approves the NDA, it will issue an approval letter authorizing the commercial marketing of the drug with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Additionally, the FDA will inspect the facility or the facilities at which the drug is manufactured.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 In many cases, the outcome of the review, even if generally favorable, is not an actual approval, but a “complete response” that generally outlines the deficiencies in the submission, which may require substantial additional testing or information before the FDA will reconsider the application. If, or when, those deficiencies have been addressed to the FDA’s satisfaction in a resubmission of the NDA, the FDA will issue an approval letter.</w:t>
      </w:r>
    </w:p>
    <w:p>
      <w:pPr>
        <w:spacing w:after="0" w:line="181"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Satisfaction of FDA requirements or similar requirements of state, local and foreign regulatory agencies typically takes several years and requires the expenditure of substantial financial resources. Information generated in this process is susceptible to varying interpretations that could delay, limit or prevent regulatory approval at any stage of the process. Accordingly, the actual time and expense required to bring a product to market may vary substantially. Data obtained from clinical activities is not always conclusive and may be susceptible to varying interpretations, which could delay, limit or prevent regulatory approval. Success in early-stage clinical trials does not ensure success in later-stage clinical trials. Even if a product candidate receives regulatory approval, the approval may be significantly limited to specific disease states, patient populations and dosages, or have conditions placed on it that restrict the commercial applications, advertising, promotion or distribution of these products.</w:t>
      </w:r>
    </w:p>
    <w:p>
      <w:pPr>
        <w:spacing w:after="0" w:line="177" w:lineRule="exact"/>
        <w:rPr>
          <w:sz w:val="20"/>
          <w:szCs w:val="20"/>
          <w:color w:val="auto"/>
        </w:rPr>
      </w:pPr>
    </w:p>
    <w:p>
      <w:pPr>
        <w:ind w:right="80" w:firstLine="589"/>
        <w:spacing w:after="0" w:line="289" w:lineRule="auto"/>
        <w:rPr>
          <w:sz w:val="20"/>
          <w:szCs w:val="20"/>
          <w:color w:val="auto"/>
        </w:rPr>
      </w:pPr>
      <w:r>
        <w:rPr>
          <w:rFonts w:ascii="Arial" w:cs="Arial" w:eastAsia="Arial" w:hAnsi="Arial"/>
          <w:sz w:val="16"/>
          <w:szCs w:val="16"/>
          <w:color w:val="auto"/>
        </w:rPr>
        <w:t>Once issued, the FDA may withdraw product approval if ongoing regulatory standards are not met or if safety problems occur after the product reaches the market. In addition, the FDA may require testing and surveillance programs to monitor the safety or effectiveness of approved products which have been commercialized, and the FDA has the power to prevent or limit further marketing of a product based on the results of these postmarketing programs. The FDA may also request or require additional Phase 4 clinical trials after a product is approved. The results of Phase 4 clinical trials can confirm the effectiveness of a product candidate and can provide important safety information to augment the FDA’s voluntary adverse drug reaction reporting system. Any products manufactured or distributed by us pursuant to FDA approvals would be subject to continuing regulation by the FDA, including recordkeeping requirements and reporting of adverse experiences with the drug. Drug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on us and our third-party manufacturers.</w:t>
      </w:r>
    </w:p>
    <w:p>
      <w:pPr>
        <w:spacing w:after="0" w:line="166"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In addition, both before and after approval is sought, we are required to comply with a number of FDA requirements. For example, we are required to report certain adverse reactions and production problems, if any, to the FDA, and to comply with certain limitations and other requirements concerning advertising and promotion for our products. In addition, quality control and manufacturing procedures must continue to conform to cGMP after approval, and the FDA periodically inspects manufacturing facilities to assess compliance with continuing cGMP. In addition, discovery of problems, such as safety problems, may result in changes in labeling or restrictions on a product manufacturer or NDA holder, including removal of the product from the market.</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8" w:name="page19"/>
    <w:bookmarkEnd w:id="18"/>
    <w:p>
      <w:pPr>
        <w:ind w:right="20" w:firstLine="589"/>
        <w:spacing w:after="0" w:line="257" w:lineRule="auto"/>
        <w:rPr>
          <w:sz w:val="20"/>
          <w:szCs w:val="20"/>
          <w:color w:val="auto"/>
        </w:rPr>
      </w:pPr>
      <w:r>
        <w:rPr>
          <w:rFonts w:ascii="Arial" w:cs="Arial" w:eastAsia="Arial" w:hAnsi="Arial"/>
          <w:sz w:val="18"/>
          <w:szCs w:val="18"/>
          <w:color w:val="auto"/>
        </w:rPr>
        <w:t>The FDA closely regulates the marketing and promotion of drugs. Approval may be subject to postmarketing surveillance and other recordkeeping and reporting obligations and involve ongoing requirements. Product approvals may be withdrawn if compliance with regulatory standards is not maintained or if problems occur following initial marketing. A company can make only those claims relating to safety and efficacy that are approved by the FDA. Failure to comply with these requirements can result in adverse publicity, warning letters, corrective advertising and potential civil and criminal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Conduct and Product Approval Regulation in Non-U.S. Jurisdictions</w:t>
      </w:r>
    </w:p>
    <w:p>
      <w:pPr>
        <w:spacing w:after="0" w:line="11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In addition to regulations in the U.S., we may be subject to a variety of foreign regulations governing clinical trials and commercial sales and distribution of our products. For example, our clinical trials conducted in the EU must be done under an Investigational Medicinal Product Dossier, and the oversight of an ethics committee. If we market our products in foreign countries, we also will be subject to foreign regulatory requirements governing marketing approval for pharmaceutical products. The requirements governing the conduct of clinical trials, product approval, pricing and reimbursement vary widely from country to country. Whether or not FDA approval has been obtained, approval of a product by the comparable regulatory authorities of foreign countries must be obtained before manufacturing or marketing the product in those countries. The approval process varies from country to country and the time required for such approvals may differ substantially from that required for FDA approval. There is no assurance that any future FDA approval of any of our Product Candidates will result in similar foreign approvals or vice versa. The process for clinical trials in other jurisdictions are similar, and trials are heavily scrutinized by the designated ethics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505(b)(2) Applications</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Some of our Product Candidates may be eligible for submission of applications for approval under the FDA’s Section 505(b)(2) approval process, which provides an alternate path to FDA approval for new or improved formulations or new uses of previously approved products. Section 505(b)(2) was enacted as part of the Drug Price Competition and Patent Term Restoration Act of 1984, also known as the Hatch-Waxman Act, and allows approval of NDAs that rely, at least in part, on studies that were not conducted by or for the applicant and to which the applicant has not obtained a right of reference. Such studies can be provided by published literature, or the FDA can rely on previous findings of safety and efficacy for a previously approved drug. If the 505(b)(2) applicant can establish that reliance on the FDA’s previous approval is scientifically appropriate, it may eliminate the need to conduct certain preclinical studies or clinical trials of the new product. Section 505(b)(2) applications may be submitted for drug products that represent a modification (</w:t>
      </w:r>
      <w:r>
        <w:rPr>
          <w:rFonts w:ascii="Arial" w:cs="Arial" w:eastAsia="Arial" w:hAnsi="Arial"/>
          <w:sz w:val="17"/>
          <w:szCs w:val="17"/>
          <w:i w:val="1"/>
          <w:iCs w:val="1"/>
          <w:color w:val="auto"/>
        </w:rPr>
        <w:t>e.g.</w:t>
      </w:r>
      <w:r>
        <w:rPr>
          <w:rFonts w:ascii="Arial" w:cs="Arial" w:eastAsia="Arial" w:hAnsi="Arial"/>
          <w:sz w:val="17"/>
          <w:szCs w:val="17"/>
          <w:color w:val="auto"/>
        </w:rPr>
        <w:t>, a new indication or new dosage form) of an eligible approved drug. In such cases, the additional information in 505(b)(2) applications necessary to support the change from the previously approved drug is frequently provided by new studies submitted by the applicant. Because a Section 505(b)(2) application relies in part on previous studies or previous FDA findings of safety and effectiveness, preparing 505(b)(2) applications is generally less costly and time-consuming than preparing an NDA based entirely on new data and information from a full set of clinical trials. The FDA may approve the new product candidate for all, or some, of the label indications for which the referenced product has been approved, as well as for any new indication sought by the Section 505(b)(2) applicant. The law governing Section 505(b)(2) or FDA’s current policies may change in such a way as to adversely affect our applications for approval that seek to utilize the Section 505(b)(2) approach. Such changes could result in additional costs associated with additional studies or clinical trials and delays.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40" w:firstLine="589"/>
        <w:spacing w:after="0" w:line="290" w:lineRule="auto"/>
        <w:rPr>
          <w:sz w:val="20"/>
          <w:szCs w:val="20"/>
          <w:color w:val="auto"/>
        </w:rPr>
      </w:pPr>
      <w:r>
        <w:rPr>
          <w:rFonts w:ascii="Arial" w:cs="Arial" w:eastAsia="Arial" w:hAnsi="Arial"/>
          <w:sz w:val="16"/>
          <w:szCs w:val="16"/>
          <w:color w:val="auto"/>
        </w:rPr>
        <w:t>The FDA provides that reviews and/or approvals of applications submitted under Section 505(b)(2) will be delayed in various circumstances. For example, the holder of the NDA for the listed drug may be entitled to a period of market exclusivity during which the FDA will not approve, and may not even review, a Section 505(b)(2) application from other sponsors. If the listed drug is claimed by one or more patents that the NDA holder has listed with the FDA, the Section 505(b)(2) applicant must submit a certification with respect to each such patent. If the 505(b)(2) applicant certifies that a listed patent is invalid, unenforceable or not infringed by the product that is the subject of the Section 505(b)(2) application, it must notify the patent holder and the NDA holder. If, within 45 days of providing this notice, the NDA holder sues the 505(b)(2) applicant for patent infringement, the FDA will not approve the Section 505(b)(2) application until the earlier of a court decision favorable to the Section 505(b)(2) applicant or the expiration of 30 months. The regulations governing marketing exclusivity and patent protection are complex, and it is often unclear how they will be applied in particular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Enforcement Agency Regulation</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chemicals. Some of these hazardous materials are considered to be controlled substances and subject to regulation by the U.S. Drug Enforcement Agency (“DEA”). Controlled substances are those drugs that appear on one of 5 schedules promulgated and administered by the DEA under the Controlled Substances Act (“CSA”). The CSA governs, among other things, the distribution, recordkeeping, handling, security and disposal of controlled substances. We must be registered by the DEA in order to engage in these activities, and we are subject to periodic and ongoing inspections by the DEA and similar state drug enforcement authorities to assess ongoing compliance with the DEA’s regulations. Any failure to comply with these regulations could lead to a variety of sanctions, including the revocation, or a denial of renewal, of the DEA registration, injunctions or civil or criminal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Payor Coverage and Reimbursement</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Commercial success of our Products and our Product Candidates that are approved or commercialized for any indication will depend, in part, on the availability of coverage and reimbursement from third-party payors at the federal, state and private levels. Government payor programs, including Medicare and Medicaid, private health care insurance companies and managed care plans have attempted to control costs by limiting coverage and the amount of reimbursement for particular procedures or drug treatments. The U.S. Congress and state legislatures, from time to time, propose and adopt initiatives aimed at cost containment. Ongoing federal and state government initiatives directed at lowering the total cost of health care will likely continue to focus on health care reform, the cost of prescription pharmaceuticals and on the reform of the Medicare and Medicaid payment systems. Examples of how limits on drug coverage and reimbursement in the U.S. may cause reduced payments for drugs in the future include:</w:t>
      </w:r>
    </w:p>
    <w:p>
      <w:pPr>
        <w:spacing w:after="0" w:line="126" w:lineRule="exact"/>
        <w:rPr>
          <w:sz w:val="20"/>
          <w:szCs w:val="20"/>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Medicare reimbursement methodologies;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fluctuating decisions on which drugs to include in formularies;</w:t>
      </w:r>
    </w:p>
    <w:p>
      <w:pPr>
        <w:spacing w:after="0" w:line="184"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revising drug rebate calculations under the Medicaid program or requiring that new or additional rebates be provided to Medicare, Medicaid and other federal or state healthcare programs; and</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reforming drug importation laws.</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Some third-party payors also require pre-approval of coverage for new drug therapies before they will reimburse health 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current and future products and to operate profitably.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20" w:firstLine="589"/>
        <w:spacing w:after="0" w:line="257" w:lineRule="auto"/>
        <w:rPr>
          <w:sz w:val="20"/>
          <w:szCs w:val="20"/>
          <w:color w:val="auto"/>
        </w:rPr>
      </w:pPr>
      <w:r>
        <w:rPr>
          <w:rFonts w:ascii="Arial" w:cs="Arial" w:eastAsia="Arial" w:hAnsi="Arial"/>
          <w:sz w:val="18"/>
          <w:szCs w:val="18"/>
          <w:color w:val="auto"/>
        </w:rPr>
        <w:t>Reimbursement systems in international markets vary significantly by country and, within some countries, by region. Reimbursement approvals must be obtained on a country-by-country basis. In many foreign markets, including markets in which we hope to sell our Products, the pricing of prescription pharmaceuticals is subject to government pricing control. In these markets, once marketing approval is received, pricing negotiations could take significant additional time. As in the U.S., the lack of satisfactory reimbursement or inadequate government pricing of any of our Products would limit widespread use and lower potential Product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Anti-kickback, Fraud and Abuse and False Claims Regulation</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are subject to health care fraud and abuse regulation and enforcement by both the federal government and the states in which we conduct our business. Healthcare providers, physicians and third-party payors play a primary role in the recommendation and prescription of our Products and any other Product Candidates for which we obtain marketing approval. Arrangements with third-party payors and customers may expose us to applicable fraud and abuse and other healthcare laws and regulations that may constrain the business or financial arrangements and relationships through which we market, sell and distribute our Products and any other Product Candidates for which we obtain marketing approval.</w:t>
      </w:r>
    </w:p>
    <w:p>
      <w:pPr>
        <w:spacing w:after="0" w:line="1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 xml:space="preserve">Regulations under applicable federal and state healthcare laws and regulations include the federal health care programs’ Anti-Kickback Law, which prohibits, among other things, persons from knowingly and willfully soliciting, receiving, offering or paying remuneration, directly or indirectly, in exchange for or to induce either the referral or purchase of any good or service for which payment may be made under federal health care programs such as the Medicare and Medicaid programs. Remuneration has been broadly defined to include anything of value, including cash, improper discounts, and free or reduced-price items and services. Many states have similar laws that apply to their state health care programs as well as private payors. In addition, the False Claims Act (“FCA”) imposes liability on persons who, among other things, present or cause to be presented false or fraudulent claims for payment by a federal health care program. The FCA has been used to prosecute persons submitting claims for payment that are inaccurate or fraudulent, that are for services not provided as claimed, or for services that are not medically necessary. Actions under the FCA may be brought by the United States Department of Justice (“DOJ”) or as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w:t>
      </w:r>
    </w:p>
    <w:p>
      <w:pPr>
        <w:spacing w:after="0" w:line="179"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Moreover, recent health care reform legislation has strengthened many of these laws. For example, the Patient Protection and Affordable Care Act (“PPACA”), among other things, amends the intent requirement of the federal anti-kickback and criminal health care fraud statutes to clarify that a person or entity does not need to have actual knowledge of this statute or specific intent to violate it. In addition, PPACA provides that a claim including items or services resulting from a violation of the federal anti-kickback statute constitutes a false or fraudulent claim for purposes of the false claims statutes.</w:t>
      </w:r>
    </w:p>
    <w:p>
      <w:pPr>
        <w:spacing w:after="0" w:line="7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 continuing interpretation and application of these laws could have a material adverse impact on our business and our ability to compete in a highly competitive market.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Federal and State Sunshine Laws</w:t>
      </w:r>
    </w:p>
    <w:p>
      <w:pPr>
        <w:spacing w:after="0" w:line="11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We must comply with federal and state “sunshine” laws, now known as Open Payments that require transparency regarding financial arrangements with health care providers. This would include the reporting and disclosure requirements imposed by the PPACA on drug manufacturers regarding any “payment or transfer of value” made or distributed to physicians and teaching hospitals. Failure to submit required information can result in civil monetary penalties. A number of states have laws that require the implementation of commercial compliance programs, impose restrictions on drug manufacturer marketing practices and/or require pharmaceutical companies to track and report payments, gifts and other benefits provided to physicians and other health care professionals and entities.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are subject to the Foreign Corrupt Practices Act of 1997 (“FCPA”). The FCPA and other similar anti-bribery laws in other jurisdictions, such as the U.K. Bribery Act,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U.S. regulators, with more frequent and aggressive investigations and enforcement proceedings by both the DOJ and the U.S. Securities and Exchange Commission (“SEC”). A determination that our operations or activities are not, or were not, in compliance with U.S.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 We have a policy against using Company funds for political purposes, and we incurred no costs in 2020 associated with legal or regulatory fines or settlements associated with violations of bribery, corruption or anti-competitive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Privacy and Data Security</w:t>
      </w:r>
    </w:p>
    <w:p>
      <w:pPr>
        <w:spacing w:after="0" w:line="117"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We are required to comply, as applicable, with numerous federal and state laws, including state security breach notification laws, state health and personal information privacy laws and federal and state consumer protection laws, and to govern the collection, use and disclosure of personal information. For example, the California Consumer Privacy Act (“CCPA”) became effective on January 1, 2020 and gave California residents expanded rights to access and require deletion of their personal information, opt out of certain personal information sharing and receive detailed information about how their personal information is used. Other countries also have, or are developing, laws governing the collection, use and transmission of personal information, such as the General Data Protection Regulation in the EU that became effective in May 2018 and the Personal Information Protection and Electronic Documents Act that became effective in Canada in April 2000. In addition, most healthcare providers who prescribe CINVANTI, SUSTOL or who may prescribe other products we may sell in the future and from whom we may obtain patient health information are subject to privacy and security requirements under the Health Insurance Portability and Accountability Act of 1996 (“HIPAA”), as amended by the Health Information Technology and Clinical Health Act, and its implementing regulations. We are not a HIPAA covered entity, do not intend to become one, and we do not operate as a business associate to any covered entities. Therefore, these privacy and security requirements do not apply to us. However, we could be subject to civil and criminal penalties if we knowingly obtain individually identifiable health information from a covered entity in a manner that is not authorized or permitted by HIPAA or for aiding and abetting the violation of HIPAA.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These laws could create liability for us or increase our cost of doing business, and any failure to comply could result in harm to our reputation, and potentially fines and penalties.</w:t>
      </w:r>
    </w:p>
    <w:p>
      <w:pPr>
        <w:spacing w:after="0" w:line="176"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addition, state laws govern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Environmental, Health and Safety Laws</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Our operations are subject to complex and increasingly stringent environmental, health and safety laws and regulations. Further, in the future, we may open manufacturing facilities that would likely be subject to environmental and health and safety authorities in the relevant jurisdictions. These authorities typically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Violations of these laws could subject us to strict liability, fines or liability to third parties.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Laws</w:t>
      </w:r>
    </w:p>
    <w:p>
      <w:pPr>
        <w:spacing w:after="0" w:line="117" w:lineRule="exact"/>
        <w:rPr>
          <w:sz w:val="20"/>
          <w:szCs w:val="20"/>
          <w:color w:val="auto"/>
        </w:rPr>
      </w:pPr>
    </w:p>
    <w:p>
      <w:pPr>
        <w:ind w:right="140" w:firstLine="589"/>
        <w:spacing w:after="0" w:line="286" w:lineRule="auto"/>
        <w:rPr>
          <w:sz w:val="20"/>
          <w:szCs w:val="20"/>
          <w:color w:val="auto"/>
        </w:rPr>
      </w:pPr>
      <w:r>
        <w:rPr>
          <w:rFonts w:ascii="Arial" w:cs="Arial" w:eastAsia="Arial" w:hAnsi="Arial"/>
          <w:sz w:val="17"/>
          <w:szCs w:val="17"/>
          <w:color w:val="auto"/>
        </w:rPr>
        <w:t>We are subject to a variety of financial disclosure and securities trading regulations as a public company in the U.S., including laws relating to the oversight activities of the SEC and the regulations of The Nasdaq Capital Market, on which our shares are traded. We are also subject to various laws, regulations and recommendations relating to safe working conditions, laboratory practices and the experimental use of animals.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Heron Employees</w:t>
      </w:r>
    </w:p>
    <w:p>
      <w:pPr>
        <w:spacing w:after="0" w:line="225" w:lineRule="exact"/>
        <w:rPr>
          <w:sz w:val="20"/>
          <w:szCs w:val="20"/>
          <w:color w:val="auto"/>
        </w:rPr>
      </w:pPr>
    </w:p>
    <w:p>
      <w:pPr>
        <w:ind w:right="60" w:firstLine="756"/>
        <w:spacing w:after="0" w:line="275" w:lineRule="auto"/>
        <w:rPr>
          <w:sz w:val="20"/>
          <w:szCs w:val="20"/>
          <w:color w:val="auto"/>
        </w:rPr>
      </w:pPr>
      <w:r>
        <w:rPr>
          <w:rFonts w:ascii="Arial" w:cs="Arial" w:eastAsia="Arial" w:hAnsi="Arial"/>
          <w:sz w:val="17"/>
          <w:szCs w:val="17"/>
          <w:color w:val="auto"/>
        </w:rPr>
        <w:t>As of December 31, 2020, Heron employed 223 full-time employees, 123 of whom are involved in research and development activities, 72 of whom are involved in sales and marketing activities and 28 of whom are involved in our administration, finance, human resources, information technology or legal functions. In 2020, Heron focused on growth to support and extend our clinical and preclinical pipeline, with hires in commercial, clinical development and operations, research, manufacturing, and general and administrative functions. Our 2020 voluntary turnover rate of 10% remains below industry norms and none of our employees are represented by a labor union or covered by a collective bargaining agreement.</w:t>
      </w:r>
    </w:p>
    <w:p>
      <w:pPr>
        <w:spacing w:after="0" w:line="176" w:lineRule="exact"/>
        <w:rPr>
          <w:sz w:val="20"/>
          <w:szCs w:val="20"/>
          <w:color w:val="auto"/>
        </w:rPr>
      </w:pPr>
    </w:p>
    <w:p>
      <w:pPr>
        <w:jc w:val="both"/>
        <w:ind w:right="280" w:firstLine="756"/>
        <w:spacing w:after="0" w:line="286" w:lineRule="auto"/>
        <w:rPr>
          <w:sz w:val="20"/>
          <w:szCs w:val="20"/>
          <w:color w:val="auto"/>
        </w:rPr>
      </w:pPr>
      <w:r>
        <w:rPr>
          <w:rFonts w:ascii="Arial" w:cs="Arial" w:eastAsia="Arial" w:hAnsi="Arial"/>
          <w:sz w:val="17"/>
          <w:szCs w:val="17"/>
          <w:color w:val="auto"/>
        </w:rPr>
        <w:t>We expect to continue to add additional employees in 2021 with a particular focus on expanding our commercial capabilities. We continually evaluate the business need and opportunity and balance in-house expertise and capacity with outsourced expertise and capacity. Currently, we outsource substantial clinical study work to clinical research organizations and drug manufacturing work to contract manufacturers.</w:t>
      </w:r>
    </w:p>
    <w:p>
      <w:pPr>
        <w:spacing w:after="0" w:line="165" w:lineRule="exact"/>
        <w:rPr>
          <w:sz w:val="20"/>
          <w:szCs w:val="20"/>
          <w:color w:val="auto"/>
        </w:rPr>
      </w:pPr>
    </w:p>
    <w:p>
      <w:pPr>
        <w:ind w:firstLine="756"/>
        <w:spacing w:after="0" w:line="255" w:lineRule="auto"/>
        <w:rPr>
          <w:sz w:val="20"/>
          <w:szCs w:val="20"/>
          <w:color w:val="auto"/>
        </w:rPr>
      </w:pPr>
      <w:r>
        <w:rPr>
          <w:rFonts w:ascii="Arial" w:cs="Arial" w:eastAsia="Arial" w:hAnsi="Arial"/>
          <w:sz w:val="18"/>
          <w:szCs w:val="18"/>
          <w:color w:val="auto"/>
        </w:rPr>
        <w:t>Drug development is a complex endeavor that requires deep expertise and experience across a broad array of disciplines. Pharmaceutical companies both large and small compete for a limited number of qualified applicants to fill specialized positions. To attract qualified applicants to the Company, Heron offers a total rewards package consisting of base salary and annual cash bonus incentive targets aligned with the applicable market norms, a comprehensive health and welfare benefits package and equity compensation for every employee. Bonus opportunity and equity compensation increase as a percentage of total compensation based on level of responsibility. Actual bonus payout is based on a weighting of Company and individual performance, which varies based on level of responsibility.</w:t>
      </w:r>
    </w:p>
    <w:p>
      <w:pPr>
        <w:spacing w:after="0" w:line="192" w:lineRule="exact"/>
        <w:rPr>
          <w:sz w:val="20"/>
          <w:szCs w:val="20"/>
          <w:color w:val="auto"/>
        </w:rPr>
      </w:pPr>
    </w:p>
    <w:p>
      <w:pPr>
        <w:ind w:right="40" w:firstLine="756"/>
        <w:spacing w:after="0" w:line="259" w:lineRule="auto"/>
        <w:rPr>
          <w:sz w:val="20"/>
          <w:szCs w:val="20"/>
          <w:color w:val="auto"/>
        </w:rPr>
      </w:pPr>
      <w:r>
        <w:rPr>
          <w:rFonts w:ascii="Arial" w:cs="Arial" w:eastAsia="Arial" w:hAnsi="Arial"/>
          <w:sz w:val="18"/>
          <w:szCs w:val="18"/>
          <w:color w:val="auto"/>
        </w:rPr>
        <w:t>Heron supports our employees’ further development with individualized development plans, mentoring, coaching, internal development workshops, and certain financial support, including company-paid external conference attendance and tuition reimbursement. Heron sponsors professional society memberships for all employees, as well as memberships for interested female employees in a women’s advocacy organization supporting women in Science, Technology, Engineering and Math.</w:t>
      </w:r>
    </w:p>
    <w:p>
      <w:pPr>
        <w:spacing w:after="0" w:line="187" w:lineRule="exact"/>
        <w:rPr>
          <w:sz w:val="20"/>
          <w:szCs w:val="20"/>
          <w:color w:val="auto"/>
        </w:rPr>
      </w:pPr>
    </w:p>
    <w:p>
      <w:pPr>
        <w:ind w:right="20" w:firstLine="756"/>
        <w:spacing w:after="0" w:line="259" w:lineRule="auto"/>
        <w:rPr>
          <w:sz w:val="20"/>
          <w:szCs w:val="20"/>
          <w:color w:val="auto"/>
        </w:rPr>
      </w:pPr>
      <w:r>
        <w:rPr>
          <w:rFonts w:ascii="Arial" w:cs="Arial" w:eastAsia="Arial" w:hAnsi="Arial"/>
          <w:sz w:val="18"/>
          <w:szCs w:val="18"/>
          <w:color w:val="auto"/>
        </w:rPr>
        <w:t>Developing and maintaining a positive corporate culture is a priority for Heron. We completed our first employee satisfaction survey in late 2019 and employee satisfaction focus group discussions in 2020 to identify opportunities to enhance our corporate culture. A cross-functional team was established and worked throughout the year to identify and implement initiatives to ensure a positive, productive and inclusive work environment. This work continues as an ongoing effort.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360" w:firstLine="756"/>
        <w:spacing w:after="0" w:line="263" w:lineRule="auto"/>
        <w:rPr>
          <w:sz w:val="20"/>
          <w:szCs w:val="20"/>
          <w:color w:val="auto"/>
        </w:rPr>
      </w:pPr>
      <w:r>
        <w:rPr>
          <w:rFonts w:ascii="Arial" w:cs="Arial" w:eastAsia="Arial" w:hAnsi="Arial"/>
          <w:sz w:val="18"/>
          <w:szCs w:val="18"/>
          <w:color w:val="auto"/>
        </w:rPr>
        <w:t>We also monitor employee compliance with applicable laws and regulations through a third party ethics and compliance hotline system that facilitates anonymous internal and external reporting of complaints or concerns. During 2020, we received one anonymous complaint which was investigated and concluded expeditiously.</w:t>
      </w:r>
    </w:p>
    <w:p>
      <w:pPr>
        <w:spacing w:after="0" w:line="184" w:lineRule="exact"/>
        <w:rPr>
          <w:sz w:val="20"/>
          <w:szCs w:val="20"/>
          <w:color w:val="auto"/>
        </w:rPr>
      </w:pPr>
    </w:p>
    <w:p>
      <w:pPr>
        <w:ind w:right="80" w:firstLine="756"/>
        <w:spacing w:after="0" w:line="254" w:lineRule="auto"/>
        <w:rPr>
          <w:sz w:val="20"/>
          <w:szCs w:val="20"/>
          <w:color w:val="auto"/>
        </w:rPr>
      </w:pPr>
      <w:r>
        <w:rPr>
          <w:rFonts w:ascii="Arial" w:cs="Arial" w:eastAsia="Arial" w:hAnsi="Arial"/>
          <w:sz w:val="18"/>
          <w:szCs w:val="18"/>
          <w:color w:val="auto"/>
        </w:rPr>
        <w:t>Heron strives for greater diversity and inclusion through our employment and management practices, as evidenced by a recent third-party demographic analysis indicating that the diversity of our employee population reflects the ethnicity, race and gender of the overall available workforce at all job levels. Additionally, we remain committed to further increasing the diversity of our employee base. We are also building diversity in our leadership team. Currently, 40% of our Section 16 officers are female. We believe diversity is a competitive advantage and through initiatives established in our recruiting strategy and documented in our Affirmative Action Plan, we expanded our recruiting efforts in 2020 to reach a greater population of underrepresented candidates and plan to continue doing so on an ongoing basis. Heron also monitors pay practices and decisions to ensure pay equity for minority and female employees when compared to non-minority and male employees in same or similar positions and when considering objective factors related to position qualifications.</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Heron is committed to upholding basic human rights and complies with all laws and practices that prohibit child labor, forced or indentured labor, human trafficking and unfair wages.</w:t>
      </w:r>
    </w:p>
    <w:p>
      <w:pPr>
        <w:spacing w:after="0" w:line="170" w:lineRule="exact"/>
        <w:rPr>
          <w:sz w:val="20"/>
          <w:szCs w:val="20"/>
          <w:color w:val="auto"/>
        </w:rPr>
      </w:pPr>
    </w:p>
    <w:p>
      <w:pPr>
        <w:ind w:right="220" w:firstLine="864"/>
        <w:spacing w:after="0" w:line="342" w:lineRule="auto"/>
        <w:rPr>
          <w:sz w:val="20"/>
          <w:szCs w:val="20"/>
          <w:color w:val="auto"/>
        </w:rPr>
      </w:pPr>
      <w:r>
        <w:rPr>
          <w:rFonts w:ascii="Arial" w:cs="Arial" w:eastAsia="Arial" w:hAnsi="Arial"/>
          <w:sz w:val="16"/>
          <w:szCs w:val="16"/>
          <w:color w:val="auto"/>
        </w:rPr>
        <w:t>Heron’s Injury and Illness Prevention Plan documents procedures to reduce work-related injuries and occupational illnesses. In 2020, Heron had no serious or Occupational Safety and Health Administration-reportable work-related injuries and did not experience any work-related deaths.</w:t>
      </w:r>
    </w:p>
    <w:p>
      <w:pPr>
        <w:spacing w:after="0" w:line="124" w:lineRule="exact"/>
        <w:rPr>
          <w:sz w:val="20"/>
          <w:szCs w:val="20"/>
          <w:color w:val="auto"/>
        </w:rPr>
      </w:pPr>
    </w:p>
    <w:p>
      <w:pPr>
        <w:ind w:right="260" w:firstLine="864"/>
        <w:spacing w:after="0" w:line="263" w:lineRule="auto"/>
        <w:rPr>
          <w:sz w:val="20"/>
          <w:szCs w:val="20"/>
          <w:color w:val="auto"/>
        </w:rPr>
      </w:pPr>
      <w:r>
        <w:rPr>
          <w:rFonts w:ascii="Arial" w:cs="Arial" w:eastAsia="Arial" w:hAnsi="Arial"/>
          <w:sz w:val="18"/>
          <w:szCs w:val="18"/>
          <w:color w:val="auto"/>
        </w:rPr>
        <w:t>In response to the COVID-19 pandemic, we implemented a work from home policy for non-laboratory employees and additional safety measures for employees continuing critical on-site work. In addition, we provided cell phone and home internet stipends to reimburse all employees for additional expenses related to working from home.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www.herontx.com</w:t>
      </w:r>
      <w:r>
        <w:rPr>
          <w:rFonts w:ascii="Arial" w:cs="Arial" w:eastAsia="Arial" w:hAnsi="Arial"/>
          <w:sz w:val="17"/>
          <w:szCs w:val="17"/>
          <w:color w:val="auto"/>
        </w:rPr>
        <w:t xml:space="preserve">. We make our periodic and current reports available on our website, free of charge, as soon as reasonably practicable after such material is electronically filed with, or furnished to, the SEC. No portion of our website is incorporated by reference into this Annual Report on Form 10-K. We file our annual, quarterly and special reports, proxy statements and other information with the SEC. Our filings with the SEC are also available to the public on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Additional information regarding us, including our audited financial statements and descriptions of our business, is contained in the documents incorporated by reference in this Annual Report on Form 10-K. Our common stock is traded on The Nasdaq Capital Market, under the symbol “HRTX.”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4" w:name="page25"/>
    <w:bookmarkEnd w:id="24"/>
    <w:p>
      <w:pPr>
        <w:ind w:left="1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“Risk Factors” below in this Annual Report on Form 10-K.</w:t>
      </w:r>
    </w:p>
    <w:p>
      <w:pPr>
        <w:spacing w:after="0" w:line="57" w:lineRule="exact"/>
        <w:rPr>
          <w:sz w:val="20"/>
          <w:szCs w:val="20"/>
          <w:color w:val="auto"/>
        </w:rPr>
      </w:pPr>
    </w:p>
    <w:p>
      <w:pPr>
        <w:jc w:val="both"/>
        <w:ind w:left="460" w:right="440" w:hanging="438"/>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substantially dependent on the commercial success of our Products and our Product Candidates, if approved, and if these Products and Product Candidates do not attain market acceptance by healthcare professionals and patients, our business and results of operations will suffer.</w:t>
      </w:r>
    </w:p>
    <w:p>
      <w:pPr>
        <w:spacing w:after="0" w:line="123" w:lineRule="exact"/>
        <w:rPr>
          <w:rFonts w:ascii="Arial" w:cs="Arial" w:eastAsia="Arial" w:hAnsi="Arial"/>
          <w:sz w:val="16"/>
          <w:szCs w:val="16"/>
          <w:color w:val="auto"/>
        </w:rPr>
      </w:pPr>
    </w:p>
    <w:p>
      <w:pPr>
        <w:ind w:left="460" w:right="100" w:hanging="438"/>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could be harmed by the effects of the ongoing COVID-19 pandemic and actions taken in response to the COVID-19 pandemic.</w:t>
      </w:r>
    </w:p>
    <w:p>
      <w:pPr>
        <w:spacing w:after="0" w:line="170" w:lineRule="exact"/>
        <w:rPr>
          <w:rFonts w:ascii="Arial" w:cs="Arial" w:eastAsia="Arial" w:hAnsi="Arial"/>
          <w:sz w:val="18"/>
          <w:szCs w:val="18"/>
          <w:color w:val="auto"/>
        </w:rPr>
      </w:pPr>
    </w:p>
    <w:p>
      <w:pPr>
        <w:ind w:left="460" w:right="640" w:hanging="438"/>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develop and maintain sales, marketing and distribution capabilities or enter into agreements with third parties to sell and market our Products, our Product Candidates or any other products we may develop, our sales may be adversely affected.</w:t>
      </w:r>
    </w:p>
    <w:p>
      <w:pPr>
        <w:spacing w:after="0" w:line="146" w:lineRule="exact"/>
        <w:rPr>
          <w:rFonts w:ascii="Arial" w:cs="Arial" w:eastAsia="Arial" w:hAnsi="Arial"/>
          <w:sz w:val="17"/>
          <w:szCs w:val="17"/>
          <w:color w:val="auto"/>
        </w:rPr>
      </w:pPr>
    </w:p>
    <w:p>
      <w:pPr>
        <w:ind w:left="460" w:right="140" w:hanging="438"/>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cannot establish satisfactory pricing of our Products, our Product Candidates or any other products we may develop that is also acceptable to the U.S. government, insurance companies, managed care organizations and other payors, or arrange for favorable reimbursement policies, our product sales may be adversely affected and our future revenue may suffer.</w:t>
      </w:r>
    </w:p>
    <w:p>
      <w:pPr>
        <w:spacing w:after="0" w:line="183" w:lineRule="exact"/>
        <w:rPr>
          <w:rFonts w:ascii="Arial" w:cs="Arial" w:eastAsia="Arial" w:hAnsi="Arial"/>
          <w:sz w:val="18"/>
          <w:szCs w:val="18"/>
          <w:color w:val="auto"/>
        </w:rPr>
      </w:pPr>
    </w:p>
    <w:p>
      <w:pPr>
        <w:ind w:left="460" w:right="100" w:hanging="438"/>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U.S. governmental pricing and contracting programs, we could be subject to additional reimbursement requirements, penalties and fines, which could have a material adverse effect on our business, financial condition, and results of operations.</w:t>
      </w:r>
    </w:p>
    <w:p>
      <w:pPr>
        <w:spacing w:after="0" w:line="183" w:lineRule="exact"/>
        <w:rPr>
          <w:rFonts w:ascii="Arial" w:cs="Arial" w:eastAsia="Arial" w:hAnsi="Arial"/>
          <w:sz w:val="18"/>
          <w:szCs w:val="18"/>
          <w:color w:val="auto"/>
        </w:rPr>
      </w:pPr>
    </w:p>
    <w:p>
      <w:pPr>
        <w:ind w:left="460" w:right="100" w:hanging="438"/>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Because the results of preclinical studies and clinical trials are not necessarily predictive of future results, we can provide no assurances that any of our Product Candidates or any of our other future product candidates will have favorable results in future studies or receive regulatory approval.</w:t>
      </w:r>
    </w:p>
    <w:p>
      <w:pPr>
        <w:spacing w:after="0" w:line="123" w:lineRule="exact"/>
        <w:rPr>
          <w:rFonts w:ascii="Arial" w:cs="Arial" w:eastAsia="Arial" w:hAnsi="Arial"/>
          <w:sz w:val="16"/>
          <w:szCs w:val="16"/>
          <w:color w:val="auto"/>
        </w:rPr>
      </w:pPr>
    </w:p>
    <w:p>
      <w:pPr>
        <w:ind w:left="460" w:right="160" w:hanging="438"/>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evaluation of CINVANTI for the treatment of COVID-19 is at an early stage, and development of CINVANTI for the treatment of COVID-19 will require extensive testing and funding.</w:t>
      </w:r>
    </w:p>
    <w:p>
      <w:pPr>
        <w:spacing w:after="0" w:line="170" w:lineRule="exact"/>
        <w:rPr>
          <w:rFonts w:ascii="Arial" w:cs="Arial" w:eastAsia="Arial" w:hAnsi="Arial"/>
          <w:sz w:val="18"/>
          <w:szCs w:val="18"/>
          <w:color w:val="auto"/>
        </w:rPr>
      </w:pPr>
    </w:p>
    <w:p>
      <w:pPr>
        <w:ind w:left="460" w:right="100" w:hanging="438"/>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entities may take actions that directly or indirectly have the effect of limiting opportunities for CINVANTI as a treatment for COVID-19.</w:t>
      </w:r>
    </w:p>
    <w:p>
      <w:pPr>
        <w:spacing w:after="0" w:line="170" w:lineRule="exact"/>
        <w:rPr>
          <w:rFonts w:ascii="Arial" w:cs="Arial" w:eastAsia="Arial" w:hAnsi="Arial"/>
          <w:sz w:val="18"/>
          <w:szCs w:val="18"/>
          <w:color w:val="auto"/>
        </w:rPr>
      </w:pPr>
    </w:p>
    <w:p>
      <w:pPr>
        <w:ind w:left="460" w:right="140" w:hanging="438"/>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Interim, topline or preliminary data from our clinical trials that we announce or publish may change as more patient data become available and are subject to audit and verification procedures that could result in material changes in the final data.</w:t>
      </w:r>
    </w:p>
    <w:p>
      <w:pPr>
        <w:spacing w:after="0" w:line="278" w:lineRule="exact"/>
        <w:rPr>
          <w:rFonts w:ascii="Arial" w:cs="Arial" w:eastAsia="Arial" w:hAnsi="Arial"/>
          <w:sz w:val="18"/>
          <w:szCs w:val="18"/>
          <w:color w:val="auto"/>
        </w:rPr>
      </w:pPr>
    </w:p>
    <w:p>
      <w:pPr>
        <w:ind w:left="460" w:right="340" w:hanging="438"/>
        <w:spacing w:after="0" w:line="31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the FDA has granted Fast Track, Breakthrough Therapy and Priority Review designations to HTX-011, there can be no assurance that HTX-011 or any of our other future products that receive similar designations in the U.S. or in any other regulatory jurisdictions will receive regulatory approval and/or any sooner than other Product Candidates or future product candidates that do not have such designations, or at all.</w:t>
      </w:r>
    </w:p>
    <w:p>
      <w:pPr>
        <w:spacing w:after="0" w:line="148" w:lineRule="exact"/>
        <w:rPr>
          <w:rFonts w:ascii="Arial" w:cs="Arial" w:eastAsia="Arial" w:hAnsi="Arial"/>
          <w:sz w:val="16"/>
          <w:szCs w:val="16"/>
          <w:color w:val="auto"/>
        </w:rPr>
      </w:pPr>
    </w:p>
    <w:p>
      <w:pPr>
        <w:ind w:left="460" w:right="180" w:hanging="438"/>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platforms or product development efforts may not produce safe, efficacious or commercially viable products, and, if we are unable to develop new products, our business may suffer.</w:t>
      </w:r>
    </w:p>
    <w:p>
      <w:pPr>
        <w:spacing w:after="0" w:line="170" w:lineRule="exact"/>
        <w:rPr>
          <w:rFonts w:ascii="Arial" w:cs="Arial" w:eastAsia="Arial" w:hAnsi="Arial"/>
          <w:sz w:val="18"/>
          <w:szCs w:val="18"/>
          <w:color w:val="auto"/>
        </w:rPr>
      </w:pPr>
    </w:p>
    <w:p>
      <w:pPr>
        <w:ind w:left="460" w:hanging="438"/>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testing and conduct our clinical trials, and their failure to perform their obligations in a timely and competent manner may delay development and commercialization of our Product Candidates or our future product candidates and our business could be substantially harmed.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60" w:top="580" w:right="399" w:bottom="1440" w:gutter="0" w:footer="0" w:header="0"/>
        </w:sectPr>
      </w:pPr>
    </w:p>
    <w:bookmarkStart w:id="25" w:name="page26"/>
    <w:bookmarkEnd w:id="25"/>
    <w:p>
      <w:pPr>
        <w:ind w:left="500" w:right="300" w:hanging="438"/>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suppliers and contract manufacturers are unable to manufacture in commercially viable quantities, we could face delays in our ability to commercialize our Products, our Product Candidates or any other products we may develop, our costs will increase and our product sales may be severely hindered.</w:t>
      </w:r>
    </w:p>
    <w:p>
      <w:pPr>
        <w:spacing w:after="0" w:line="183" w:lineRule="exact"/>
        <w:rPr>
          <w:rFonts w:ascii="Arial" w:cs="Arial" w:eastAsia="Arial" w:hAnsi="Arial"/>
          <w:sz w:val="18"/>
          <w:szCs w:val="18"/>
          <w:color w:val="auto"/>
        </w:rPr>
      </w:pPr>
    </w:p>
    <w:p>
      <w:pPr>
        <w:ind w:left="500" w:hanging="438"/>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losses, we expect to generate losses in the near future, and we may never achieve or maintain profitability.</w:t>
      </w:r>
    </w:p>
    <w:p>
      <w:pPr>
        <w:spacing w:after="0" w:line="225" w:lineRule="exact"/>
        <w:rPr>
          <w:rFonts w:ascii="Arial" w:cs="Arial" w:eastAsia="Arial" w:hAnsi="Arial"/>
          <w:sz w:val="18"/>
          <w:szCs w:val="18"/>
          <w:color w:val="auto"/>
        </w:rPr>
      </w:pPr>
    </w:p>
    <w:p>
      <w:pPr>
        <w:ind w:left="500" w:right="380" w:hanging="438"/>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capital may be needed in the future to enable us to implement our business plan, and we may be unable to raise capital, which would force us to limit or cease our operations and related product development programs.</w:t>
      </w:r>
    </w:p>
    <w:p>
      <w:pPr>
        <w:spacing w:after="0" w:line="170" w:lineRule="exact"/>
        <w:rPr>
          <w:rFonts w:ascii="Arial" w:cs="Arial" w:eastAsia="Arial" w:hAnsi="Arial"/>
          <w:sz w:val="18"/>
          <w:szCs w:val="18"/>
          <w:color w:val="auto"/>
        </w:rPr>
      </w:pPr>
    </w:p>
    <w:p>
      <w:pPr>
        <w:ind w:left="500" w:right="520" w:hanging="438"/>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Drug development involves a lengthy and expensive process with an uncertain outcome, and results of earlier studies may not be predictive of future study results.</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clinical testing could increase our costs and delay our ability to obtain regulatory approval and commercialize our Product Candidates.</w:t>
      </w:r>
    </w:p>
    <w:p>
      <w:pPr>
        <w:spacing w:after="0" w:line="248" w:lineRule="exact"/>
        <w:rPr>
          <w:rFonts w:ascii="Arial" w:cs="Arial" w:eastAsia="Arial" w:hAnsi="Arial"/>
          <w:sz w:val="16"/>
          <w:szCs w:val="16"/>
          <w:color w:val="auto"/>
        </w:rPr>
      </w:pPr>
    </w:p>
    <w:p>
      <w:pPr>
        <w:ind w:left="500" w:right="340" w:hanging="438"/>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obtain regulatory approval for our Product Candidates in development. Regulatory approval may also be delayed or revoked or may impose limitations on the indicated uses of a Product Candidate. If we are unable to obtain regulatory approval for our Product Candidates in development, our business will be substantially harmed.</w:t>
      </w:r>
    </w:p>
    <w:p>
      <w:pPr>
        <w:spacing w:after="0" w:line="183" w:lineRule="exact"/>
        <w:rPr>
          <w:rFonts w:ascii="Arial" w:cs="Arial" w:eastAsia="Arial" w:hAnsi="Arial"/>
          <w:sz w:val="18"/>
          <w:szCs w:val="18"/>
          <w:color w:val="auto"/>
        </w:rPr>
      </w:pPr>
    </w:p>
    <w:p>
      <w:pPr>
        <w:ind w:left="500" w:right="100" w:hanging="438"/>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adequately protect or enforce our intellectual property rights, we may lose valuable assets or incur costly litigation to protect our rights.</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our common stock has been and may continue to be volatile.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You should carefully consider the following information about risks and uncertainties that may affect us or our business, together with the other information appearing elsewhere in this Annual Report on Form 10-K. If any of the following events, described as risks, actually occur, our business, financial condition, results of operations and future growth prospects would likely be materially and adversely affected. In these circumstances, the market price of our common stock could decline, and you may lose all or part of your investment in our securities. An investment in our securities is speculative and involves a high degree of risk. You should not invest in our securities if you cannot bear the economic risk of your investment for an indefinite period of time and cannot afford to lose your entire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commercial success of CINVANTI</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and SUSTOL</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and our U.S. Product Candidates HTX-011, HTX-019, HTX-034 and CINVANTI for the treatment of COVID-19, if approved, and if these products and product candidates do not attain market acceptance by healthcare professionals and patients, our business and results of operations will suffer.</w:t>
      </w:r>
    </w:p>
    <w:p>
      <w:pPr>
        <w:spacing w:after="0" w:line="76"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success of our business is substantially dependent on our ability to commercialize CINVANTI and SUSTOL and our Product Candidates in the U.S. Although members of our management team have prior experience launching new drugs, CINVANTI and SUSTOL are the first two products that we have launched and, if our Product Candidates are approved in the U.S., they would be the third, fourth, fifth and sixth products that we launch in the U.S., respectively. ZYNRELEF, approved for commercial sale in the EU, the other countries in the EEA, and the United Kingdom, would be our first product to be made commercially available in Europe. HTX-011, if approved in Canada, would be our first product to be made commercially available in Canada.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right="440" w:firstLine="589"/>
        <w:spacing w:after="0" w:line="342" w:lineRule="auto"/>
        <w:rPr>
          <w:sz w:val="20"/>
          <w:szCs w:val="20"/>
          <w:color w:val="auto"/>
        </w:rPr>
      </w:pPr>
      <w:r>
        <w:rPr>
          <w:rFonts w:ascii="Arial" w:cs="Arial" w:eastAsia="Arial" w:hAnsi="Arial"/>
          <w:sz w:val="16"/>
          <w:szCs w:val="16"/>
          <w:color w:val="auto"/>
        </w:rPr>
        <w:t>Further, even if our sales organization performs as expected, the revenue that we may receive from the sales of our Products and our Product Candidates, if approved, may be less than anticipated due to factors that are outside of our control. These factors that may affect revenue include:</w:t>
      </w:r>
    </w:p>
    <w:p>
      <w:pPr>
        <w:spacing w:after="0" w:line="124" w:lineRule="exact"/>
        <w:rPr>
          <w:sz w:val="20"/>
          <w:szCs w:val="20"/>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of our approved product labels;</w:t>
      </w:r>
    </w:p>
    <w:p>
      <w:pPr>
        <w:spacing w:after="0" w:line="225"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perception of physicians and other members of the health care community of the safety and efficacy and cost-competitiveness relative to that of competing products;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maintain successful sales, marketing and educational programs for certain physicians and other health care providers;</w:t>
      </w:r>
    </w:p>
    <w:p>
      <w:pPr>
        <w:spacing w:after="0" w:line="236" w:lineRule="exact"/>
        <w:rPr>
          <w:rFonts w:ascii="Arial" w:cs="Arial" w:eastAsia="Arial" w:hAnsi="Arial"/>
          <w:sz w:val="17"/>
          <w:szCs w:val="17"/>
          <w:color w:val="auto"/>
        </w:rPr>
      </w:pPr>
    </w:p>
    <w:p>
      <w:pPr>
        <w:ind w:left="1020" w:right="24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patient and physician awareness of CINV associated with AC combination chemotherapy regimens, MEC or HEC and encourage physicians to look for incidence of CINV among patients;</w:t>
      </w:r>
    </w:p>
    <w:p>
      <w:pPr>
        <w:spacing w:after="0" w:line="170" w:lineRule="exact"/>
        <w:rPr>
          <w:rFonts w:ascii="Arial" w:cs="Arial" w:eastAsia="Arial" w:hAnsi="Arial"/>
          <w:sz w:val="18"/>
          <w:szCs w:val="18"/>
          <w:color w:val="auto"/>
        </w:rPr>
      </w:pPr>
    </w:p>
    <w:p>
      <w:pPr>
        <w:ind w:left="1020" w:right="58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patient and physician awareness of the risks associated with using opioids for postoperative pain management and encourage physicians to consider utilizing a non-opioid alternative;</w:t>
      </w:r>
    </w:p>
    <w:p>
      <w:pPr>
        <w:spacing w:after="0" w:line="170" w:lineRule="exact"/>
        <w:rPr>
          <w:rFonts w:ascii="Arial" w:cs="Arial" w:eastAsia="Arial" w:hAnsi="Arial"/>
          <w:sz w:val="18"/>
          <w:szCs w:val="18"/>
          <w:color w:val="auto"/>
        </w:rPr>
      </w:pPr>
    </w:p>
    <w:p>
      <w:pPr>
        <w:ind w:left="1020" w:right="44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patient and physician awareness of PONV associated with surgical procedures and encourage physicians to look for incidence of PONV among patients;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cost-effectiveness of our Products and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institutional formulary committees;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and physician satisfaction with our Products and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potential market for our Products and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adequate reimbursement from government and third-party payors;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publicity concerning our Products, our Product Candidates or similar products;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availability and acceptance of competing treatments, including competing generic products;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event information relating to our Products, our Product Candidates or similar classes of drugs;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litigation alleging injuries relating to our Products, our Product Candidates or similar classes of drugs;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maintain and defend our patents and trade secrets for our Products, our Product Candidates and our Biochronomer Technology;</w:t>
      </w:r>
    </w:p>
    <w:p>
      <w:pPr>
        <w:spacing w:after="0" w:line="248" w:lineRule="exact"/>
        <w:rPr>
          <w:rFonts w:ascii="Arial" w:cs="Arial" w:eastAsia="Arial" w:hAnsi="Arial"/>
          <w:sz w:val="16"/>
          <w:szCs w:val="16"/>
          <w:color w:val="auto"/>
        </w:rPr>
      </w:pPr>
    </w:p>
    <w:p>
      <w:pPr>
        <w:ind w:left="1020" w:hanging="432"/>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continue to have CINVANTI and SUSTOL manufactured at commercial production levels successfully and on a timely basis;</w:t>
      </w:r>
    </w:p>
    <w:p>
      <w:pPr>
        <w:spacing w:after="0" w:line="248" w:lineRule="exact"/>
        <w:rPr>
          <w:rFonts w:ascii="Arial" w:cs="Arial" w:eastAsia="Arial" w:hAnsi="Arial"/>
          <w:sz w:val="16"/>
          <w:szCs w:val="16"/>
          <w:color w:val="auto"/>
        </w:rPr>
      </w:pPr>
    </w:p>
    <w:p>
      <w:pPr>
        <w:ind w:left="1020" w:right="18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scale up manufacturing of HTX-011 (ZYNRELEF in Europe) and HTX-034 and continue to have HTX-011 (ZYNRELEF in Europe) manufactured at commercial production levels successfully and on a timely basis;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raw materials necessary to manufacture our Products and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7" w:name="page28"/>
    <w:bookmarkEnd w:id="27"/>
    <w:p>
      <w:pPr>
        <w:ind w:left="1020" w:hanging="432"/>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access third parties to manufacture and distribute our Products and our Product Candidates on acceptable terms or at all;</w:t>
      </w:r>
    </w:p>
    <w:p>
      <w:pPr>
        <w:spacing w:after="0" w:line="236" w:lineRule="exact"/>
        <w:rPr>
          <w:rFonts w:ascii="Arial" w:cs="Arial" w:eastAsia="Arial" w:hAnsi="Arial"/>
          <w:sz w:val="17"/>
          <w:szCs w:val="17"/>
          <w:color w:val="auto"/>
        </w:rPr>
      </w:pPr>
    </w:p>
    <w:p>
      <w:pPr>
        <w:ind w:left="1020" w:hanging="43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related to the manufacture or continued use of our Products and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of post-approval study requirements and the results thereof;</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and effectiveness of sales and marketing and distribution support for our Products and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the impact of the ongoing COVID-19 pandemic on our business;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competitors’ activities, including decisions as to the timing of competing product launches, generic entrants, pricing and discounting; and</w:t>
      </w:r>
    </w:p>
    <w:p>
      <w:pPr>
        <w:spacing w:after="0" w:line="248" w:lineRule="exact"/>
        <w:rPr>
          <w:rFonts w:ascii="Arial" w:cs="Arial" w:eastAsia="Arial" w:hAnsi="Arial"/>
          <w:sz w:val="16"/>
          <w:szCs w:val="16"/>
          <w:color w:val="auto"/>
        </w:rPr>
      </w:pPr>
    </w:p>
    <w:p>
      <w:pPr>
        <w:ind w:left="1020" w:hanging="43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material adverse developments with respect to the commercialization of our Products and our Product Candidates.</w:t>
      </w:r>
    </w:p>
    <w:p>
      <w:pPr>
        <w:spacing w:after="0" w:line="225"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 xml:space="preserve">Additionally, a CRL was received from the FDA regarding the NDA for HTX-011 on June 26, 2020. The CRL states that the FDA was unable to approve the NDA in its present form based on the need for additional non-clinical information. Based on the complete review of the NDA, the FDA did not identify any clinical safety or efficacy issues or Chemistry Manufacturing and Controls (“CMC”) issues. </w:t>
      </w:r>
      <w:r>
        <w:rPr>
          <w:rFonts w:ascii="Arial" w:cs="Arial" w:eastAsia="Arial" w:hAnsi="Arial"/>
          <w:sz w:val="16"/>
          <w:szCs w:val="16"/>
          <w:color w:val="1E1E1E"/>
        </w:rPr>
        <w:t>There are four non-clinical issues in the CRL,</w:t>
      </w:r>
      <w:r>
        <w:rPr>
          <w:rFonts w:ascii="Arial" w:cs="Arial" w:eastAsia="Arial" w:hAnsi="Arial"/>
          <w:sz w:val="16"/>
          <w:szCs w:val="16"/>
          <w:color w:val="auto"/>
        </w:rPr>
        <w:t xml:space="preserve"> </w:t>
      </w:r>
      <w:r>
        <w:rPr>
          <w:rFonts w:ascii="Arial" w:cs="Arial" w:eastAsia="Arial" w:hAnsi="Arial"/>
          <w:sz w:val="16"/>
          <w:szCs w:val="16"/>
          <w:color w:val="1E1E1E"/>
        </w:rPr>
        <w:t xml:space="preserve">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We cannot</w:t>
      </w:r>
      <w:r>
        <w:rPr>
          <w:rFonts w:ascii="Arial" w:cs="Arial" w:eastAsia="Arial" w:hAnsi="Arial"/>
          <w:sz w:val="16"/>
          <w:szCs w:val="16"/>
          <w:color w:val="1E1E1E"/>
        </w:rPr>
        <w:t xml:space="preserve"> </w:t>
      </w:r>
      <w:r>
        <w:rPr>
          <w:rFonts w:ascii="Arial" w:cs="Arial" w:eastAsia="Arial" w:hAnsi="Arial"/>
          <w:sz w:val="16"/>
          <w:szCs w:val="16"/>
          <w:color w:val="000000"/>
        </w:rPr>
        <w:t>predict the outcome of any interactions that we might have with the FDA or when HTX-011 will receive marketing approval, if at all.</w:t>
      </w:r>
    </w:p>
    <w:p>
      <w:pPr>
        <w:spacing w:after="0" w:line="16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business will be adversely affected if, due to these or other factors, our commercialization of our Products and our Product Candidates does not achieve the acceptance and demand necessary to sustain revenue growth. If we are unable to successfully commercialize our Products and our Product Candidates our business and results of operations will suffer.</w:t>
      </w:r>
    </w:p>
    <w:p>
      <w:pPr>
        <w:spacing w:after="0" w:line="1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are unable to develop and maintain sales, marketing and distribution capabilities or enter into agreements with third parties to sell and market our Products, our Product Candidates or any other products we may develop, our sales may be adversely affected.</w:t>
      </w:r>
    </w:p>
    <w:p>
      <w:pPr>
        <w:spacing w:after="0" w:line="146"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We have established an internal sales organization for the sale, marketing and distribution of our Products and our Product Candidates in the U.S. In order to successfully commercialize ZYNRELEF in Europe, HTX-011 in Canada, and any other products we may develop, we must increase our sales, marketing, distribution and other non-technical capabilities or make arrangements with third parties to perform these services. The development of a sales organization to market our Products, our Product Candidates or any other products we may develop, is expensive and time consuming, and we cannot be certain that we will be able to successfully develop this capacity or that this function will execute as expected. If we are unable to establish adequate sales, marketing and distribution capabilities, whether independently or with third parties, we may not be able to generate product revenue and our business and results of operations will suffer.</w:t>
      </w:r>
    </w:p>
    <w:p>
      <w:pPr>
        <w:spacing w:after="0" w:line="19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Our internal sales and marketing organization is not currently structured or staffed to launch products on an international level and, therefore, we may not be able to successfully commercialize our Products and our Product Candidates outside of the U.S. In order to commercialize our Products and our Product Candidates in jurisdictions other than the U.S., we would be required to obtain separate marketing approvals and comply with numerous and varying regulatory requirements in each foreign country. If we decide to seek the assistance of third parties with international expertise to help commercialize our Products and our Product Candidates outside of the U.S., we may not be successful in finding willing third parties and, even if we are able to find willing third parties, they might not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t>be able to successfully obtain the approvals and take the steps needed to commercialize our Products and our Product Candidates. If we decide to commercialize our Products or our Product Candidates outside of the U.S. without the assistance of third parties with international expertise, it may take longer than expected to obtain the approvals and take the steps needed to commercialize such Products or Product Candidates. As a result, we may decide to delay or abandon development efforts in certain markets. Any such delay or abandonment may have an adverse effect on the benefits otherwise expected from marketing our Products or our Product Candidates in foreign countries.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cannot establish satisfactory pricing of our Products, our Product Candidates or any other products we may develop that is also acceptable to the U.S. government, insurance companies, managed care organizations and other payors, or arrange for favorable reimbursement policies, our product sales may be adversely affected and our future revenue may suffer.</w:t>
      </w:r>
    </w:p>
    <w:p>
      <w:pPr>
        <w:spacing w:after="0" w:line="184"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The continuing efforts of the U.S. government, insurance companies, managed care organizations and other payors of health care costs to contain or reduce costs of health care may adversely affect our ability to generate adequate revenues and gross margins to make our Products, our Product Candidates or any other products we may develop commercially viable. Our ability to commercialize our Products, our Product Candidates or any other products we may develop successfully will depend in part on the extent to which governmental authorities, private health insurers and other organizations establish appropriate reimbursement levels for the cost of such products and related treatments and for what uses reimbursement will be provided.</w:t>
      </w:r>
    </w:p>
    <w:p>
      <w:pPr>
        <w:spacing w:after="0" w:line="161"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Adoption of our Products, our Product Candidates or any other products we may develop by the medical community may be limited if third-party payors will not offer adequate coverage. In addition, third-party payors often challenge the price and cost-effectiveness of medical products and services and such pressure may increase in the future. In many cases, uncertainty exists as to the adequate reimbursement status of newly approved healthcare products. Accordingly, our Products, our Product Candidates or any other products we may develop may not be reimbursable by certain third-party payors at the time of commercial launch and potentially for an extended period of time thereafter. In addition, products may not be considered cost-effective and adequate third-party reimbursement may not be available to enable us to maintain price levels sufficient to realize a profit.</w:t>
      </w:r>
    </w:p>
    <w:p>
      <w:pPr>
        <w:spacing w:after="0" w:line="164"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Legislation and regulations affecting the pricing of pharmaceuticals may change and any such changes could further limit reimbursement. Cost control initiatives may decrease coverage and payment levels for our Products, our Product Candidates or any other products we may develop and, in turn, the reimbursement that we receive. We are unable to predict all changes to the coverage or reimbursement methodologies that will be applied by private or government payors to our Products, our Product Candidates or any other products we may develop. If our Products, our Product Candidates or any other products we develop do not receive adequate reimbursement, our revenue could be severely limited.</w:t>
      </w:r>
    </w:p>
    <w:p>
      <w:pPr>
        <w:spacing w:after="0" w:line="176"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In the U.S., given recent federal and state government initiatives directed at lowering the total cost of health care, the U.S. Congress and state legislatures will likely continue to focus on health care reform, reducing the cost of prescription pharmaceuticals and reforming the Medicare and Medicaid systems. For example, the Patient Protection and Affordable Care Act (“PPACA”) encourages comparative effectiveness research. Any adverse findings for our Products or Product Candidates from such research may negatively impact reimbursement available for our Products or our Product Candidates. Similarly, the SUPPORT for Patients and Communities Act (“SUPPORT Act”), which was signed into law on October 24, 2018, encourages the prevention and treatment of opioid addiction and the development of non-opioid pain management treatments. Although it is too early to assess the impact of the SUPPORT Act, it could potentially increase competition for HTX-011 and HTX-034, if approved, and have other negative impacts on our business. In addition to these initiatives, proposals are being discussed that would tie the prices of U.S. pharmaceuticals to the cost of pharmaceuticals in other countries, governmental drug pricing task forces have been formed with the goal of combating the increased costs of prescription pharmaceuticals and several states in the U.S. have introduced legislation to require pharmaceutical companies to disclose their costs to justify the prices of their products. Additionally, on September 13, 2020, an Executive Order was signed furthering these initiatives, creating a “most-favored-nation” policy and directing the U.S. Secretary of Health and Human Services to develop and implement rulemaking and payment plans that would limit the amount paid by Medicare for certain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line="284" w:lineRule="auto"/>
        <w:rPr>
          <w:sz w:val="20"/>
          <w:szCs w:val="20"/>
          <w:color w:val="auto"/>
        </w:rPr>
      </w:pPr>
      <w:r>
        <w:rPr>
          <w:rFonts w:ascii="Arial" w:cs="Arial" w:eastAsia="Arial" w:hAnsi="Arial"/>
          <w:sz w:val="16"/>
          <w:szCs w:val="16"/>
          <w:color w:val="auto"/>
        </w:rPr>
        <w:t>pharmaceutical products to the lowest prices (after certain adjustments) of such products paid in certain other countries. On November 20, 2020, CMS issued an interim final rule (the “Rule”) implementing the most-favored-nation policy to cap the price Medicare can pay for a drug to the lowest price paid in an economically comparable country within the Organization for Economic Cooperation and Development. The Rule was slated to take effect on January 1, 2021, but federal courts have temporarily enjoined implementation of the Rule, and CMS has indicated that a most-favored-nation policy will not be implemented without a rulemaking proceeding. It is unclear whether or how the Biden administration will move forward with the Rule. But if the new administration implements the Rule in its current form and the Rule survives judicial scrutiny, it would subject certain physician-administered drugs and biologicals identified by CMS as having the highest annual Medicare Part B spending to an alternative payment methodology based on international reference prices. As evidenced by proposals and initiatives such as these, low prices of our Products or our Product Candidates in foreign jurisdictions may have a negative impact on the prices of our Products or our Product Candidates in the U.S. For example, if legislation is passed or regulations are adopted that tie the prices of U.S. pharmaceuticals to the cost of pharmaceuticals in other countries and if ZYNRELEF is subject to pricing regulations in the EU or in other countries in which it is approved that keep its price low in those jurisdictions, then this could lower the potential price of the product in the U.S., thereby limiting the revenue we would be able to generate from it. Additionally, on September 24, 2020, the FDA published a final rule establishing a legal framework for the importation of certain prescription drugs from Canada with the stated purpose of achieving a significant reduction in the cost of covered products to the American consumer while posing no additional risk to the public’s health and safety (the “Importation Rule”). Although it is too early to assess the impact of the Importation Rule, it could potentially reduce U.S. revenues for any of our Products or Product Candidates that are also approved in Canada and potentially have other negative impacts on our business. Economic pressure on state budgets may result in states increasingly seeking to achieve budget savings through mechanisms that limit coverage or payment for drugs. State Medicaid programs are increasingly asking manufacturers to pay supplemental rebates and requiring prior authorization by the state program for use of any drug for which supplemental rebates are not being paid. Further, the trend toward managed health care in the U.S., which could significantly influence the purchase of health care services and products, may result in lower prices for our Products, our Product Candidates or any other products we may develop for marketing. While we cannot predict whether any legislative or regulatory proposals affecting our business will be adopted, the announcement or adoption of these proposals could have a material and adverse effect on our potential revenues and gross margins.</w:t>
      </w:r>
    </w:p>
    <w:p>
      <w:pPr>
        <w:spacing w:after="0" w:line="39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U.S. governmental pricing and contracting programs, we could be subject to additional reimbursement requirements, penalties and fines, which could have a material adverse effect on our business, financial condition, and results of operations.</w:t>
      </w:r>
    </w:p>
    <w:p>
      <w:pPr>
        <w:spacing w:after="0" w:line="184"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The Medicare program and certain government pricing programs, including the Medicaid drug rebate program, the Public Health Services’ 340B drug pricing program, and the pricing program under the Veterans Health Care Act of 1992 impact the reimbursement we may receive from sales of our Products, our Product Candidates or any other products that are approved for marketing in the U.S. Pricing and rebate calculations vary among programs. The calculations are complex and are often subject to interpretation by manufacturers, governmental or regulatory agencies and the courts. We are required to submit a number of different pricing calculations to government agencies on a quarterly basis. Failure to comply with our reporting and payment obligations under U.S. governmental pricing and contracting programs may result in additional payments, penalties and fines due to government agencies, which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right="480"/>
        <w:spacing w:after="0" w:line="381" w:lineRule="auto"/>
        <w:rPr>
          <w:sz w:val="20"/>
          <w:szCs w:val="20"/>
          <w:color w:val="auto"/>
        </w:rPr>
      </w:pPr>
      <w:r>
        <w:rPr>
          <w:rFonts w:ascii="Arial" w:cs="Arial" w:eastAsia="Arial" w:hAnsi="Arial"/>
          <w:sz w:val="15"/>
          <w:szCs w:val="15"/>
          <w:b w:val="1"/>
          <w:bCs w:val="1"/>
          <w:i w:val="1"/>
          <w:iCs w:val="1"/>
          <w:color w:val="auto"/>
        </w:rPr>
        <w:t>Because the results of preclinical studies and clinical trials are not necessarily predictive of future results, we can provide no assurances that our Product Candidates or any of our other future product candidates will have favorable results in future studies or receive regulatory approval.</w:t>
      </w:r>
    </w:p>
    <w:p>
      <w:pPr>
        <w:spacing w:after="0" w:line="100"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 xml:space="preserve">Positive results from preclinical studies or clinical trials should not be relied on as evidence that later or larger-scale studies will succeed. Even if our Product Candidates or other future product candidates achieve positive results in early-stage preclinical studies or clinical studies, we will be required to demonstrate that these product candidates are safe and effective for use in Phase 3 studies before we can seek regulatory approvals for their commercial sale. Even if our early-stage preclinical studies or clinical studies achieve the specified endpoints, the FDA may determine that these data are not sufficient to allow the commencement of Phase 3 studies. There is an extremely high historical rate of failure of product candidates proceeding through clinical trials in our industry. There is no guarantee that the efficacy of any of our Product Candidates, including HTX-011 and any other future product candidates, shown in early patient studies will be replicated or maintained in future studies and/or larger patient populations. Similarly, favorable safety and tolerability data seen in short-term studies might not be replicated in studies of longer duration and/or larger patient populations. If any Product Candidate or other future product candidate demonstrates insufficient safety or efficacy in any preclinical study or clinical trial, we would experience potentially significant delays in, or be required to abandon, development of that product candidate. In addition, product candidates in Phase 3 studies may fail to show the desired safety and efficacy despite having progressed through preclinical and earlier stage clinical trials, which could delay, limit or prevent regulatory approval. Further, data obtained from pivotal clinical studies are susceptible to varying interpretations, which could delay, limit or prevent regulatory approval. Regulatory approval may also be delayed, limited or prevented by other factors. For example, a CRL was received from the FDA regarding the NDA for HTX-011 on June 26, 2020. The CRL stated that the FDA was unable to approve the NDA in its present form based on the need for additional non-clinical information. Based on the complete review of the NDA, the FDA did not identify any clinical safety or efficacy issues or CMC issues. </w:t>
      </w:r>
      <w:r>
        <w:rPr>
          <w:rFonts w:ascii="Arial" w:cs="Arial" w:eastAsia="Arial" w:hAnsi="Arial"/>
          <w:sz w:val="16"/>
          <w:szCs w:val="16"/>
          <w:color w:val="1E1E1E"/>
        </w:rPr>
        <w:t xml:space="preserve">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Even if we are successful in resolving some or all of the matters raised by the FDA in the CRL, there is significant risk that we will be</w:t>
      </w:r>
      <w:r>
        <w:rPr>
          <w:rFonts w:ascii="Arial" w:cs="Arial" w:eastAsia="Arial" w:hAnsi="Arial"/>
          <w:sz w:val="16"/>
          <w:szCs w:val="16"/>
          <w:color w:val="1E1E1E"/>
        </w:rPr>
        <w:t xml:space="preserve"> </w:t>
      </w:r>
      <w:r>
        <w:rPr>
          <w:rFonts w:ascii="Arial" w:cs="Arial" w:eastAsia="Arial" w:hAnsi="Arial"/>
          <w:sz w:val="16"/>
          <w:szCs w:val="16"/>
          <w:color w:val="000000"/>
        </w:rPr>
        <w:t>unable to obtain FDA approval for HTX-011 on a timely basis or at all. If we delay or abandon our efforts to develop any of our Product Candidates or other future product candidates, we may not be able to generate sufficient revenues to become profitable, and our reputation in the industry and in the investment community would likely be significantly damaged, each of which would cause our stock price to decrease significantly.</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evaluation of CINVANTI for the treatment of COVID-19 is at an early stage, and development of CINVANTI for the treatment of COVID-19 will require extensive testing and funding.</w:t>
      </w:r>
    </w:p>
    <w:p>
      <w:pPr>
        <w:spacing w:after="0" w:line="170" w:lineRule="exact"/>
        <w:rPr>
          <w:sz w:val="20"/>
          <w:szCs w:val="20"/>
          <w:color w:val="auto"/>
        </w:rPr>
      </w:pPr>
    </w:p>
    <w:p>
      <w:pPr>
        <w:ind w:right="120" w:firstLine="589"/>
        <w:spacing w:after="0" w:line="269" w:lineRule="auto"/>
        <w:rPr>
          <w:sz w:val="20"/>
          <w:szCs w:val="20"/>
          <w:color w:val="auto"/>
        </w:rPr>
      </w:pPr>
      <w:r>
        <w:rPr>
          <w:rFonts w:ascii="Arial" w:cs="Arial" w:eastAsia="Arial" w:hAnsi="Arial"/>
          <w:sz w:val="17"/>
          <w:szCs w:val="17"/>
          <w:color w:val="auto"/>
        </w:rPr>
        <w:t>In July 2020, we announced the initiation of the GUARDS-1 Study, a Phase 2 clinical study evaluating CINVANTI in early hospitalized patients with COVID-19. GUARDS-1, also referred to as Study HTX-019-202, is a randomized, placebo-controlled, double-blinded, Phase 2 study designed to investigate the efficacy and safety of adding daily dosing of CINVANTI for 14 days as a 2-minute intravenous injection to standard of care to reduce mortality and the need for assisted ventilation in early hospitalized adult patients with a confirmed SARS-CoV-2 infection. Our clinical development program for CINVANTI as a potential treatment option for patients with COVID-19 is in early stages, and we may be unable to demonstrate that CINVANTI successfully treats the virus in a timely manner, if at all. We are also committing financial resources and personnel to these developmental efforts, which may cause delays in or otherwise negatively impact our other development programs, despite uncertainties surrounding the longevity and extent of COVID-19 as a global health concern. Our business could be negatively impacted by our allocation of significant resources to a global health threat that is unpredictable and could rapidly dissipate or against which our drug, if developed, may not be partially or fully effective. In addition, another party may be successful in producing a more efficacious drug or other treatment for COVID-19, which may lead to the diversion of funding away from us and toward other companies or lead to decreased demand for our potential treatment.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Government entities may take actions that directly or indirectly have the effect of limiting opportunities for CINVANTI as a treatment for COVID-19.</w:t>
      </w:r>
    </w:p>
    <w:p>
      <w:pPr>
        <w:spacing w:after="0" w:line="248"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Various government entities, including the U.S. government, are offering incentives, grants and contracts to encourage additional investment by commercial organizations into preventative and therapeutic agents against COVID-19, which may have the effect of increasing the number of competitors and/or providing advantages to competitors. Accordingly, there can be no assurance that we will be able to successfully establish a competitive market share if we ultimately receive regulatory approval for CINVANTI as a treatment for COVID-19. COVID-19 treatments may also be subject to government pricing controls, which could adversely affect the profitability of any COVID-19 treatment we are able to develop and commercialize.</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may change as more patient data become available and are subject to audit and verification procedures that could result in material changes in the final data.</w:t>
      </w:r>
    </w:p>
    <w:p>
      <w:pPr>
        <w:spacing w:after="0" w:line="170"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We may publicly disclose interim, topline, or preliminary data from our clinical trials, such as the results from our Phase 3b clinical trial of HTX-011 for patients undergoing total knee arthroplasty,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6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line="311" w:lineRule="auto"/>
        <w:rPr>
          <w:sz w:val="20"/>
          <w:szCs w:val="20"/>
          <w:color w:val="auto"/>
        </w:rPr>
      </w:pPr>
      <w:r>
        <w:rPr>
          <w:rFonts w:ascii="Arial" w:cs="Arial" w:eastAsia="Arial" w:hAnsi="Arial"/>
          <w:sz w:val="16"/>
          <w:szCs w:val="16"/>
          <w:b w:val="1"/>
          <w:bCs w:val="1"/>
          <w:i w:val="1"/>
          <w:iCs w:val="1"/>
          <w:color w:val="auto"/>
        </w:rPr>
        <w:t>Although the FDA has granted Fast Track, Breakthrough Therapy and Priority Review designations to HTX-011, there can be no assurance that HTX-011 or any of our other Product Candidates or future product candidates that receive similar designations in the U.S. or in any other regulatory jurisdictions will receive regulatory approval any sooner than other product candidates that do not have such designations, or at all.</w:t>
      </w:r>
    </w:p>
    <w:p>
      <w:pPr>
        <w:spacing w:after="0" w:line="149"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In October 2017, we were granted Fast Track designation for HTX-011 from the FDA for local administration into the surgical site to reduce postoperative pain and the need for opioid analgesics for 72 hours. In June 2018, we were granted Breakthrough Therapy designation for HTX-011 from the FDA for postoperative pain management. In December 2018, we were granted Priority Review designation for HTX-011 from the FDA for postoperative pain management. Fast Track designation is intended to facilitate the development and expedite the review of new therapies to treat serious conditions with unmet medical needs by providing sponsors with the opportunity for frequent interactions with the FDA. Breakthrough Therapy designation is designed to expedite the development and review of drugs that are intended to treat serious conditions and for which preliminary clinical evidence indicates substantial improvement over available therapies on clinically significant endpoint(s). Priority Review designation is for drugs that, if approved, would be significant improvements in the safety or effectiveness of the treatment or prevention of serious conditions. Product candidates that receive Fast Track or Breakthrough Therapy designation may receive more frequent interactions with the FDA regarding the product candidate’s development plan and clinical trials and may be eligible for the FDA’s Rolling Review and Priority Review. Priority Review designation is intended to direct overall attention and resources of the FDA to the evaluation of such applications and means that the FDA’s goal is to take action on such applications within 6 months, compared to 10 months under standard review. Despite receiving Fast Track, Breakthrough Therapy and Priority Review designations, we can provide no assurances that HTX-011 or any of our other future products that receive similar designations in the U.S. or in any other regulatory jurisdictions will receive regulatory approval any sooner than other product candidates that do not have such designations, or at all. For example, despite receiving Fast Track designation, Breakthrough Therapy designation and Priority Review designation for HTX-011, a CRL was received from the FDA regarding the NDA for HTX-011 on June 26, 2020, and there is no guarantee that approval will be received in a timely manner, or at all. The FDA or any foreign regulatory authorities may also withdraw or revoke Fast Track, Breakthrough Therapy, or similar designations, or elect to treat designated candidates in a manner different from what was originally indicated, if they determine that HTX-011 or any of our other Product Candidates or future product candidates that receive such designations no longer meet the relevant criteria. Failure to realize the potential benefits of these designations could materially adversely affect our business, financial condition, cash flows and results of operations.</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product platforms or product development efforts may not produce safe, efficacious or commercially viable products, and, if we are unable to develop new products, our business may suffer.</w:t>
      </w:r>
    </w:p>
    <w:p>
      <w:pPr>
        <w:spacing w:after="0" w:line="170"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Our long-term viability and growth will depend on the successful development of products through our research and development activities. Product development is very expensive and involves a high degree of risk. Only a small number of research and development programs result in the commercialization of a product. Success in preclinical work or early-stage clinical trials does not ensure that later-stage or larger-scale clinical trials will be successful. Our ability to complete our clinical trials in a timely fashion depends in large part on a number of key factors, including protocol design, regulatory and IRB approval, the rate of patient enrollment in clinical trials and compliance with extensive current Good Clinical Practices (“cGCP”).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3" w:name="page34"/>
    <w:bookmarkEnd w:id="33"/>
    <w:p>
      <w:pPr>
        <w:ind w:right="200" w:firstLine="589"/>
        <w:spacing w:after="0" w:line="257" w:lineRule="auto"/>
        <w:rPr>
          <w:sz w:val="20"/>
          <w:szCs w:val="20"/>
          <w:color w:val="auto"/>
        </w:rPr>
      </w:pPr>
      <w:r>
        <w:rPr>
          <w:rFonts w:ascii="Arial" w:cs="Arial" w:eastAsia="Arial" w:hAnsi="Arial"/>
          <w:sz w:val="18"/>
          <w:szCs w:val="18"/>
          <w:color w:val="auto"/>
        </w:rPr>
        <w:t>In addition, because we fund the development of our Product Candidates, we may not be able to continue to fund all such development efforts to completion or to provide the support necessary to perform the clinical trials, obtain regulatory approvals, or market any approved products. If our drug delivery technologies or product development efforts fail to result in the successful development and commercialization of our Product Candidates, or if our new Products do not perform as anticipated, such events could materially adversely affect our business, financial condition, cash flows and results of operations.</w:t>
      </w:r>
    </w:p>
    <w:p>
      <w:pPr>
        <w:spacing w:after="0" w:line="188"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rely on third parties to conduct our preclinical testing and conduct our clinical trials, and their failure to perform their obligations in a timely and competent manner may delay development and commercialization of our Product Candidates and our business could be substantially harmed.</w:t>
      </w:r>
    </w:p>
    <w:p>
      <w:pPr>
        <w:spacing w:after="0" w:line="100"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We have used contract research organizations (“CROs”) to oversee or provide selected services for our clinical trials for our Products and our Product Candidates, and we expect to use the same or similar organizations for our future clinical trials and pipeline programs. There can be no assurance that these CROs will perform their obligations at all times in a competent or timely fashion, and we must rigorously oversee their activities in order to be confident in their conduct of these trials on our behalf. If the CROs fail to commit resources to our Product Candidates, our clinical programs related to our Product Candidates could be delayed, terminated or unsuccessful, and we may not be able to obtain regulatory approval for, or successfully commercialize, them. Different cultural and operational issues in foreign countries could cause delays or unexpected problems with patient enrollment or with the data obtained from those locations. If we experience significant delays in the progress of our clinical trials or experience doubts with respect to the quality of data derived from our clinical trials, we could face significant delays in gaining necessary product approvals.</w:t>
      </w:r>
    </w:p>
    <w:p>
      <w:pPr>
        <w:spacing w:after="0" w:line="16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also rely on third parties to assist in conducting our preclinical studies in accordance with GLP and the Animal Welfare Act requirements. We, our CROs and other third parties are required to comply with cGCP, which are regulations and guidelines enforced by the FDA, the Competent Authorities of the Member States of the EEA and comparable foreign regulatory authorities. Regulatory authorities enforce cGCP through periodic inspections of trial sponsors, principal investigators and trial sites. If we or any of our CROs fail to comply with applicable cGCP, the clinical data generated in the clinical trials may be deemed unreliable, and the FDA or comparable foreign regulatory authorities may require us to perform additional clinical trials before approving our marketing applications. We cannot be certain that on inspection by a given regulatory authority, such regulatory authority will determine that any of our ongoing or future clinical trials comply with cGCP. In addition, all of our clinical trials must be conducted with product produced under current Good Manufacturing Practices (“cGMP”). Failure to comply with these regulations may require us to repeat preclinical and clinical trials, which would increase our related expenses and delay the regulatory approval process.</w:t>
      </w:r>
    </w:p>
    <w:p>
      <w:pPr>
        <w:spacing w:after="0" w:line="181"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Our CROs and other third parties we may engage to support our development programs are not our employees, and, except for remedies available to us under our agreements with such CROs, we cannot control whether or not they devote sufficient time and resources to our ongoing clinical, non-clinical and preclinical programs. Outsourcing these functions involves risk that third parties may not perform to our standards, may not produce results in a timely manner, or may fail to perform at all. If CROs do not successfully carry out their contractual duties or obligations or meet expected deadlines or if the quality or accuracy of the preclinical results or clinical data they obtain is compromised due to the failure to adhere to test requirements,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 w:name="page35"/>
    <w:bookmarkEnd w:id="34"/>
    <w:p>
      <w:pPr>
        <w:ind w:right="460"/>
        <w:spacing w:after="0" w:line="263" w:lineRule="auto"/>
        <w:rPr>
          <w:sz w:val="20"/>
          <w:szCs w:val="20"/>
          <w:color w:val="auto"/>
        </w:rPr>
      </w:pPr>
      <w:r>
        <w:rPr>
          <w:rFonts w:ascii="Arial" w:cs="Arial" w:eastAsia="Arial" w:hAnsi="Arial"/>
          <w:sz w:val="18"/>
          <w:szCs w:val="18"/>
          <w:b w:val="1"/>
          <w:bCs w:val="1"/>
          <w:i w:val="1"/>
          <w:iCs w:val="1"/>
          <w:color w:val="auto"/>
        </w:rPr>
        <w:t>If our suppliers or contract manufacturers are unable to manufacture in commercially viable quantities, we could face delays in our ability to commercialize our Products, our Product Candidates or any other products we may develop, our costs will increase and our Product sales may be severely hindered.</w:t>
      </w:r>
    </w:p>
    <w:p>
      <w:pPr>
        <w:spacing w:after="0" w:line="18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If in the future any of our Product Candidates are approved for commercial sale, we will need to be able to consistently manufacture such Product Candidates in larger quantities and be able to show equivalency to the FDA, and foreign regulatory authorities, in the manufacture of such Product Candidates at commercial scale as compared to development batch size. The commercial success of our Products and our Product Candidates will be dependent on the ability of our contract manufacturers to produce a product in commercial quantities at competitive costs of manufacture in a process that is validated by the FDA. We have scaled up manufacturing for CINVANTI and SUSTOL in order to realize important economies of scale, and these activities took time to implement, required additional capital investment, process development and validation studies and regulatory approval. We are in the process of scaling up manufacturing for HTX-011 (ZYNRELEF in Europe). We cannot guarantee that we will be successful in achieving competitive manufacturing costs through such scaled-up activities.</w:t>
      </w:r>
    </w:p>
    <w:p>
      <w:pPr>
        <w:spacing w:after="0" w:line="178"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manufacture of pharmaceutical products is a highly complex process in which a variety of difficulties may arise, including product loss due to material failure, equipment failure, vendor error, operator error, labor shortages, inability to obtain material, equipment or transportation, physical or electronic security breaches and natural or man-made disasters. Problems with manufacturing processes could result in product defects or manufacturing failures, which could require us to delay shipment of products or recall products previously shipped, or could impair our ability to expand into new markets or supply products in existing markets. We may not be able to resolve any such problems in a timely manner, if at all.</w:t>
      </w:r>
    </w:p>
    <w:p>
      <w:pPr>
        <w:spacing w:after="0" w:line="17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and contract manufacturers to manufacture our Products and our Product Candidates, and we expect to do the same for any future products that we develop; if our contract manufacturers do not perform as expected, our business could suffer.</w:t>
      </w:r>
    </w:p>
    <w:p>
      <w:pPr>
        <w:spacing w:after="0" w:line="124"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do not own or operate manufacturing facilities for the production of commercial or clinical quantities of any product, including our Products and our Product Candidates. Our ability to successfully commercialize our Products and our Product Candidates, as well as any other products that we may develop, depends in part on our ability to arrange for and rely on other parties to manufacture our products at a competitive cost, in accordance with regulatory requirements, and in sufficient quantities for clinical testing and eventual commercialization. We currently rely on a small number of third-party manufacturers to produce compounds used in our product development activities and expect to continue to do so to meet the preclinical and clinical requirements of our potential products and for all of our commercial needs. Certain contract manufacturers are, at the present time (and are expected to be for the foreseeable future), our sole resource to manufacture certain key components of our Products and our Product Candidates, as well as key components for product candidates in clinical and preclinical testing in our research and development program. Although we entered into long-term commercial manufacturing agreements for the manufacture of our Products and our Product Candidates, and we have long-term agreements for the manufacture of our Biochronomer Technology, we might not be able to successfully negotiate long-term agreements with any additional third parties, or we might not receive all required regulatory approvals to utilize such third parties, and, accordingly, we might not be able to reduce or remove our dependence on a single supplier for the commercial manufacturing of our Products, our Product Candidates or any other products we may develop for marketing. We may have difficulties with these manufacturer relationships, and we may not be able to find replacement contract manufacturers on satisfactory terms or on a timely basis. Our reliance on third-party suppliers and contract manufacturers also subjects our business to risks associated with geographic areas in which those parties reside, which could include natural or man-made disasters, including epidemics, pandemics, acts of war or terrorism, or resource shortages. Due to regulatory and technical requirements, we may have limited ability to shift production to a different third-party should the need arise. We cannot be certain that we could reach agreement on reasonable terms, if at all, with such a manufacturer. Even if we were to reach agreement, the transition of the manufacturing process to a different third-party could take a significant amount of time and money, and may not be successful.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ind w:right="60" w:firstLine="589"/>
        <w:spacing w:after="0" w:line="286" w:lineRule="auto"/>
        <w:rPr>
          <w:sz w:val="20"/>
          <w:szCs w:val="20"/>
          <w:color w:val="auto"/>
        </w:rPr>
      </w:pPr>
      <w:r>
        <w:rPr>
          <w:rFonts w:ascii="Arial" w:cs="Arial" w:eastAsia="Arial" w:hAnsi="Arial"/>
          <w:sz w:val="16"/>
          <w:szCs w:val="16"/>
          <w:color w:val="auto"/>
        </w:rPr>
        <w:t>Further, we, along with our contract manufacturers, are required to comply with FDA and foreign regulatory requirements related to product testing, quality assurance, manufacturing and documentation. Our contract manufacturers may not be able to comply with the applicable FDA or foreign regulatory requirements. They may be required to pass an FDA pre-approval inspection for conformity with cGMP before we can obtain approval to manufacture our Products and our Product Candidates and will be subject to ongoing, periodic, unannounced inspection by the FDA and corresponding state agencies to ensure strict compliance with cGMP, and other applicable government regulations and corresponding foreign standards. If we and our contract manufacturers fail to achieve and maintain high manufacturing standards in compliance with cGMP, or fail to scale up manufacturing processes in a timely manner, we may experience manufacturing errors resulting in defective products that could be harmful to patients, product recalls or withdrawals, delays or interruptions of production or failures in product testing or delivery, delay or prevention of filing or approval of marketing applications for our Product Candidates, cost overruns or other problems that could seriously harm our business. Not complying with FDA or foreign regulatory requirements could result in an enforcement action, such as a product recall, or prevent commercialization of our Product Candidates and delay our business development activities. In addition, such failure could be the basis for the FDA or foreign regulators to issue a warning or untitled letter or take other regulatory or legal action, including recall or seizure, total or partial suspension of production, suspension of ongoing clinical trials, refusal to approve pending applications or supplemental applications, and potentially civil and/or criminal penalties depending on the matter.</w:t>
      </w:r>
    </w:p>
    <w:p>
      <w:pPr>
        <w:spacing w:after="0" w:line="174"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Products, our Product Candidates and any other products we may develop may be in competition with other products for access to the facilities of third parties. Consequently, our Products, our Product Candidates and any other products we may develop may be subject to manufacturing delays if our contractors give other companies’ products greater priority than ours. For this and other reasons, our third-party contract manufacturers may not be able to manufacture our Products, our Product Candidates and any other products we may develop in a cost-effective or timely manner. If not manufactured in a timely manner, the clinical development of any of our Product Candidates or their submission for regulatory approval could be delayed, and our ability to deliver products to market on a timely basis could be impaired. This could increase our costs, cause us to lose revenue or market share and damage our reputation.</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Certain of the components used in the manufacture of our Products, our Product Candidates and our other product candidates are sourced from a single vendor.</w:t>
      </w:r>
    </w:p>
    <w:p>
      <w:pPr>
        <w:spacing w:after="0" w:line="170"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Some of the critical materials and components used in manufacturing our Products, our Product Candidates and our other product candidates are sourced from single suppliers. An interruption in the supply of a key material could significantly delay our research and development process or increase our expenses for commercialization or development products. Specialized materials must often be manufactured for the first time for use in drug delivery technologies, or materials may be used in the technologies in a manner different from their customary commercial uses. The quality of materials can be critical to the performance of a drug delivery technology, so a reliable source that provides a consistent supply of materials is important. Materials or components needed for our drug delivery technologies may be difficult to obtain on commercially reasonable terms, particularly when relatively small quantities are required or if the materials traditionally have not been used in pharmaceutical products. Our reliance on a single vendor for certain components used in the manufacturing of our Products and our Product Candidates also subjects our business to risk associated with the geographic areas in which those single vendors reside, which could include natural or man-made disasters, including pandemics, acts of war or terrorism, or resource shortages. Such an interruption could increase our costs and, to the extent it impairs our ability to have sufficient inventory, cause us to lose revenue or market share.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6" w:name="page37"/>
    <w:bookmarkEnd w:id="36"/>
    <w:p>
      <w:pPr>
        <w:ind w:right="420"/>
        <w:spacing w:after="0" w:line="277" w:lineRule="auto"/>
        <w:rPr>
          <w:sz w:val="20"/>
          <w:szCs w:val="20"/>
          <w:color w:val="auto"/>
        </w:rPr>
      </w:pPr>
      <w:r>
        <w:rPr>
          <w:rFonts w:ascii="Arial" w:cs="Arial" w:eastAsia="Arial" w:hAnsi="Arial"/>
          <w:sz w:val="18"/>
          <w:szCs w:val="18"/>
          <w:b w:val="1"/>
          <w:bCs w:val="1"/>
          <w:i w:val="1"/>
          <w:iCs w:val="1"/>
          <w:color w:val="auto"/>
        </w:rPr>
        <w:t>We have, or may have, significant inventory levels of drug products, and write-downs related to the impairment of those inventories may adversely impact or delay our profitability.</w:t>
      </w:r>
    </w:p>
    <w:p>
      <w:pPr>
        <w:spacing w:after="0" w:line="170"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We have, or may have, significant inventory levels of drug products, and we may increase those inventory levels as we continue to commercialize our Products and our Product Candidates. We determine inventory levels of drug products based on a variety of estimates, including timing of regulatory approval of our drug products, market demand for our drug products and those of our competitors, entrance of competing drug products, introduction of new, or changes in interpretations of, pharmaceutical regulation, and changes in healthcare provider and insurer reimbursement policies. These estimates are inherently difficult to make and may be inaccurate. We analyze our inventory levels and will write down inventory that has become obsolete. If our initial estimate of the appropriate inventory levels of drug products is or becomes inaccurate, write-downs of inventory may be required, which would be recorded as cost of product sales and thereby adversely impact or delay our profitability.</w:t>
      </w:r>
    </w:p>
    <w:p>
      <w:pPr>
        <w:spacing w:after="0" w:line="177"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It is difficult to predict commercial demand for our Products, and, if our estimates of demand are too low, it may adversely impact our ability to generate revenue and profits in the short term and our ability to establish and maintain a competitive position in the relevant markets where our Products are sold, or may be sold, in the future.</w:t>
      </w:r>
    </w:p>
    <w:p>
      <w:pPr>
        <w:spacing w:after="0" w:line="184"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Despite our efforts to maintain appropriate inventory levels of our Products, as we continue to commercialize our Products, our estimates of appropriate inventory levels may not be accurate. If we fail to build up sufficient inventory levels to meet commercial demand, our ability to generate revenue and profits in the short term would be adversely impacted. Failure to meet demand may also cause us to lose market share to our competitors, which could materially adversely affect our business, financial condition, cash flows and results of operations. Given the time required to scale production and replenish inventory, our ability to correct for inaccurate estimates in a timely manner may be limited.</w:t>
      </w:r>
    </w:p>
    <w:p>
      <w:pPr>
        <w:spacing w:after="0" w:line="176"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Similarly, if we are unable to ramp up production of prospective Product Candidates to coincide with the regulatory approval of those Product Candidates, our ability to generate revenue and profits in the short term would be adversely impacted. If our competitors are able to meet demand with their products before we are able to produce and sell inventory, our ability to gain market share will be adversely impacted, which could materially adversely affect our business, financial condition, cash flows and results of operations. In addition, if regulatory approval of any of our Product Candidates comes earlier than anticipated, as a result of preferential designations designed to hasten the approval process or otherwise, and we have not built up sufficient inventory to meet commercial demand, our ability to generate additional revenue sooner as a result of those early approvals may be diminished.</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developing products for the prevention of CINV and PONV, management of postoperative pain or treatment of COVID-19.</w:t>
      </w:r>
    </w:p>
    <w:p>
      <w:pPr>
        <w:spacing w:after="0" w:line="170"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CINVANTI faces significant competition. NK</w:t>
      </w:r>
      <w:r>
        <w:rPr>
          <w:rFonts w:ascii="Arial" w:cs="Arial" w:eastAsia="Arial" w:hAnsi="Arial"/>
          <w:sz w:val="14"/>
          <w:szCs w:val="14"/>
          <w:color w:val="auto"/>
        </w:rPr>
        <w:t>1</w:t>
      </w:r>
      <w:r>
        <w:rPr>
          <w:rFonts w:ascii="Arial" w:cs="Arial" w:eastAsia="Arial" w:hAnsi="Arial"/>
          <w:sz w:val="17"/>
          <w:szCs w:val="17"/>
          <w:color w:val="auto"/>
        </w:rPr>
        <w:t xml:space="preserve"> receptor antagonists are administered for the prevention of CINV, in combination with 5-HT</w:t>
      </w:r>
      <w:r>
        <w:rPr>
          <w:rFonts w:ascii="Arial" w:cs="Arial" w:eastAsia="Arial" w:hAnsi="Arial"/>
          <w:sz w:val="14"/>
          <w:szCs w:val="14"/>
          <w:color w:val="auto"/>
        </w:rPr>
        <w:t>3</w:t>
      </w:r>
      <w:r>
        <w:rPr>
          <w:rFonts w:ascii="Arial" w:cs="Arial" w:eastAsia="Arial" w:hAnsi="Arial"/>
          <w:sz w:val="17"/>
          <w:szCs w:val="17"/>
          <w:color w:val="auto"/>
        </w:rPr>
        <w:t xml:space="preserve"> receptor antagonists, to augment the therapeutic effect of the 5-HT</w:t>
      </w:r>
      <w:r>
        <w:rPr>
          <w:rFonts w:ascii="Arial" w:cs="Arial" w:eastAsia="Arial" w:hAnsi="Arial"/>
          <w:sz w:val="14"/>
          <w:szCs w:val="14"/>
          <w:color w:val="auto"/>
        </w:rPr>
        <w:t>3</w:t>
      </w:r>
      <w:r>
        <w:rPr>
          <w:rFonts w:ascii="Arial" w:cs="Arial" w:eastAsia="Arial" w:hAnsi="Arial"/>
          <w:sz w:val="17"/>
          <w:szCs w:val="17"/>
          <w:color w:val="auto"/>
        </w:rPr>
        <w:t xml:space="preserve"> receptor antagonist. Currently available NK</w:t>
      </w:r>
      <w:r>
        <w:rPr>
          <w:rFonts w:ascii="Arial" w:cs="Arial" w:eastAsia="Arial" w:hAnsi="Arial"/>
          <w:sz w:val="14"/>
          <w:szCs w:val="14"/>
          <w:color w:val="auto"/>
        </w:rPr>
        <w:t>1</w:t>
      </w:r>
      <w:r>
        <w:rPr>
          <w:rFonts w:ascii="Arial" w:cs="Arial" w:eastAsia="Arial" w:hAnsi="Arial"/>
          <w:sz w:val="17"/>
          <w:szCs w:val="17"/>
          <w:color w:val="auto"/>
        </w:rPr>
        <w:t xml:space="preserve"> receptor antagonists include: generic versions of EMEND</w:t>
      </w:r>
      <w:r>
        <w:rPr>
          <w:rFonts w:ascii="Arial" w:cs="Arial" w:eastAsia="Arial" w:hAnsi="Arial"/>
          <w:sz w:val="14"/>
          <w:szCs w:val="14"/>
          <w:color w:val="auto"/>
        </w:rPr>
        <w:t>®</w:t>
      </w:r>
      <w:r>
        <w:rPr>
          <w:rFonts w:ascii="Arial" w:cs="Arial" w:eastAsia="Arial" w:hAnsi="Arial"/>
          <w:sz w:val="17"/>
          <w:szCs w:val="17"/>
          <w:color w:val="auto"/>
        </w:rPr>
        <w:t xml:space="preserve"> IV (fosaprepitant); EMEND</w:t>
      </w:r>
      <w:r>
        <w:rPr>
          <w:rFonts w:ascii="Arial" w:cs="Arial" w:eastAsia="Arial" w:hAnsi="Arial"/>
          <w:sz w:val="14"/>
          <w:szCs w:val="14"/>
          <w:color w:val="auto"/>
        </w:rPr>
        <w:t>®</w:t>
      </w:r>
      <w:r>
        <w:rPr>
          <w:rFonts w:ascii="Arial" w:cs="Arial" w:eastAsia="Arial" w:hAnsi="Arial"/>
          <w:sz w:val="17"/>
          <w:szCs w:val="17"/>
          <w:color w:val="auto"/>
        </w:rPr>
        <w:t xml:space="preserve"> IV (fosaprepitant, marketed by Merck &amp; Co); EMEND</w:t>
      </w:r>
      <w:r>
        <w:rPr>
          <w:rFonts w:ascii="Arial" w:cs="Arial" w:eastAsia="Arial" w:hAnsi="Arial"/>
          <w:sz w:val="14"/>
          <w:szCs w:val="14"/>
          <w:color w:val="auto"/>
        </w:rPr>
        <w:t>®</w:t>
      </w:r>
      <w:r>
        <w:rPr>
          <w:rFonts w:ascii="Arial" w:cs="Arial" w:eastAsia="Arial" w:hAnsi="Arial"/>
          <w:sz w:val="17"/>
          <w:szCs w:val="17"/>
          <w:color w:val="auto"/>
        </w:rPr>
        <w:t xml:space="preserve"> (aprepitant, marketed by Merck &amp; Co, Inc.); AKYNZEO</w:t>
      </w:r>
      <w:r>
        <w:rPr>
          <w:rFonts w:ascii="Arial" w:cs="Arial" w:eastAsia="Arial" w:hAnsi="Arial"/>
          <w:sz w:val="14"/>
          <w:szCs w:val="14"/>
          <w:color w:val="auto"/>
        </w:rPr>
        <w:t>®</w:t>
      </w:r>
      <w:r>
        <w:rPr>
          <w:rFonts w:ascii="Arial" w:cs="Arial" w:eastAsia="Arial" w:hAnsi="Arial"/>
          <w:sz w:val="17"/>
          <w:szCs w:val="17"/>
          <w:color w:val="auto"/>
        </w:rPr>
        <w:t xml:space="preserve"> (palonosetron, a 5-HT</w:t>
      </w:r>
      <w:r>
        <w:rPr>
          <w:rFonts w:ascii="Arial" w:cs="Arial" w:eastAsia="Arial" w:hAnsi="Arial"/>
          <w:sz w:val="14"/>
          <w:szCs w:val="14"/>
          <w:color w:val="auto"/>
        </w:rPr>
        <w:t>3</w:t>
      </w:r>
      <w:r>
        <w:rPr>
          <w:rFonts w:ascii="Arial" w:cs="Arial" w:eastAsia="Arial" w:hAnsi="Arial"/>
          <w:sz w:val="17"/>
          <w:szCs w:val="17"/>
          <w:color w:val="auto"/>
        </w:rPr>
        <w:t xml:space="preserve"> receptor antagonist, combined with netupitant, an NK</w:t>
      </w:r>
      <w:r>
        <w:rPr>
          <w:rFonts w:ascii="Arial" w:cs="Arial" w:eastAsia="Arial" w:hAnsi="Arial"/>
          <w:sz w:val="14"/>
          <w:szCs w:val="14"/>
          <w:color w:val="auto"/>
        </w:rPr>
        <w:t>1</w:t>
      </w:r>
      <w:r>
        <w:rPr>
          <w:rFonts w:ascii="Arial" w:cs="Arial" w:eastAsia="Arial" w:hAnsi="Arial"/>
          <w:sz w:val="17"/>
          <w:szCs w:val="17"/>
          <w:color w:val="auto"/>
        </w:rPr>
        <w:t xml:space="preserve"> receptor antagonist, marketed by Helsinn Therapeutics); VARUBI</w:t>
      </w:r>
      <w:r>
        <w:rPr>
          <w:rFonts w:ascii="Arial" w:cs="Arial" w:eastAsia="Arial" w:hAnsi="Arial"/>
          <w:sz w:val="14"/>
          <w:szCs w:val="14"/>
          <w:color w:val="auto"/>
        </w:rPr>
        <w:t>®</w:t>
      </w:r>
      <w:r>
        <w:rPr>
          <w:rFonts w:ascii="Arial" w:cs="Arial" w:eastAsia="Arial" w:hAnsi="Arial"/>
          <w:sz w:val="17"/>
          <w:szCs w:val="17"/>
          <w:color w:val="auto"/>
        </w:rPr>
        <w:t xml:space="preserve"> (rolapitant, marketed by TerSera Therapeutics LLC) and other products that include an NK</w:t>
      </w:r>
      <w:r>
        <w:rPr>
          <w:rFonts w:ascii="Arial" w:cs="Arial" w:eastAsia="Arial" w:hAnsi="Arial"/>
          <w:sz w:val="14"/>
          <w:szCs w:val="14"/>
          <w:color w:val="auto"/>
        </w:rPr>
        <w:t>1</w:t>
      </w:r>
      <w:r>
        <w:rPr>
          <w:rFonts w:ascii="Arial" w:cs="Arial" w:eastAsia="Arial" w:hAnsi="Arial"/>
          <w:sz w:val="17"/>
          <w:szCs w:val="17"/>
          <w:color w:val="auto"/>
        </w:rPr>
        <w:t xml:space="preserve"> receptor antagonist that reach the market for the prevention of CINV. At present, VEKLURY</w:t>
      </w:r>
      <w:r>
        <w:rPr>
          <w:rFonts w:ascii="Arial" w:cs="Arial" w:eastAsia="Arial" w:hAnsi="Arial"/>
          <w:sz w:val="14"/>
          <w:szCs w:val="14"/>
          <w:color w:val="auto"/>
        </w:rPr>
        <w:t>®</w:t>
      </w:r>
      <w:r>
        <w:rPr>
          <w:rFonts w:ascii="Arial" w:cs="Arial" w:eastAsia="Arial" w:hAnsi="Arial"/>
          <w:sz w:val="17"/>
          <w:szCs w:val="17"/>
          <w:color w:val="auto"/>
        </w:rPr>
        <w:t xml:space="preserve"> (remdesivir, marketed by Gilead in the U.S.) is the only treatment approved for COVID-19. If we are able to successfully develop CINVANTI for the treatment of COVID-19, we will potentially also compete with: Bamlanivimab (a neutralizing IgG1 mAb directed against the spike protein of SARS-CoV-2, developed by AbCellera in collaboration with and marketed by Eli Lilly for the treatment and prevention of the novel coronavirus infection, and has been granted Emergency Use Authorization, globally, both alone and in combination with Estesevimab); Etesevimab (recombinant fully human monoclonal neutralizing antibody, developed by Shanghai Junshi Biosciences and marketed by Eli Lilly for the prevention and treatment of COVID-19 infection and has been granted Emergency Use Authorization, globally, both alone and in combination with Bamlanivimab); Casirivimab and imdevimab (a dual anti-viral antibody cocktail which developed by Regeneron (US rights) in collaboration with Roche (ex-US rights), for the prevention and treatment of COVID-19, and has been granted Emergency 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7" w:name="page38"/>
    <w:bookmarkEnd w:id="37"/>
    <w:p>
      <w:pPr>
        <w:ind w:right="60"/>
        <w:spacing w:after="0" w:line="263" w:lineRule="auto"/>
        <w:rPr>
          <w:sz w:val="20"/>
          <w:szCs w:val="20"/>
          <w:color w:val="auto"/>
        </w:rPr>
      </w:pPr>
      <w:r>
        <w:rPr>
          <w:rFonts w:ascii="Arial" w:cs="Arial" w:eastAsia="Arial" w:hAnsi="Arial"/>
          <w:sz w:val="18"/>
          <w:szCs w:val="18"/>
          <w:color w:val="auto"/>
        </w:rPr>
        <w:t>Authorization, globally); tradipitant (an NK</w:t>
      </w:r>
      <w:r>
        <w:rPr>
          <w:rFonts w:ascii="Arial" w:cs="Arial" w:eastAsia="Arial" w:hAnsi="Arial"/>
          <w:sz w:val="15"/>
          <w:szCs w:val="15"/>
          <w:color w:val="auto"/>
        </w:rPr>
        <w:t>1</w:t>
      </w:r>
      <w:r>
        <w:rPr>
          <w:rFonts w:ascii="Arial" w:cs="Arial" w:eastAsia="Arial" w:hAnsi="Arial"/>
          <w:sz w:val="18"/>
          <w:szCs w:val="18"/>
          <w:color w:val="auto"/>
        </w:rPr>
        <w:t xml:space="preserve"> receptor antagonist currently under investigation by Vanda Pharmaceuticals Inc. pursuant to an exclusive worldwide license agreement with Eli Lilly and Company and not approved anywhere globally for any use); and potentially other products in development for the treatment of COVID-19 that reach the market.</w:t>
      </w:r>
    </w:p>
    <w:p>
      <w:pPr>
        <w:spacing w:after="0" w:line="184" w:lineRule="exact"/>
        <w:rPr>
          <w:sz w:val="20"/>
          <w:szCs w:val="20"/>
          <w:color w:val="auto"/>
        </w:rPr>
      </w:pPr>
    </w:p>
    <w:p>
      <w:pPr>
        <w:ind w:right="160" w:firstLine="589"/>
        <w:spacing w:after="0" w:line="289" w:lineRule="auto"/>
        <w:rPr>
          <w:sz w:val="20"/>
          <w:szCs w:val="20"/>
          <w:color w:val="auto"/>
        </w:rPr>
      </w:pPr>
      <w:r>
        <w:rPr>
          <w:rFonts w:ascii="Arial" w:cs="Arial" w:eastAsia="Arial" w:hAnsi="Arial"/>
          <w:sz w:val="16"/>
          <w:szCs w:val="16"/>
          <w:color w:val="auto"/>
        </w:rPr>
        <w:t>SUSTOL faces significant competition. Currently available 5-HT</w:t>
      </w:r>
      <w:r>
        <w:rPr>
          <w:rFonts w:ascii="Arial" w:cs="Arial" w:eastAsia="Arial" w:hAnsi="Arial"/>
          <w:sz w:val="13"/>
          <w:szCs w:val="13"/>
          <w:color w:val="auto"/>
        </w:rPr>
        <w:t>3</w:t>
      </w:r>
      <w:r>
        <w:rPr>
          <w:rFonts w:ascii="Arial" w:cs="Arial" w:eastAsia="Arial" w:hAnsi="Arial"/>
          <w:sz w:val="16"/>
          <w:szCs w:val="16"/>
          <w:color w:val="auto"/>
        </w:rPr>
        <w:t xml:space="preserve"> receptor antagonists include: AKYNZEO</w:t>
      </w:r>
      <w:r>
        <w:rPr>
          <w:rFonts w:ascii="Arial" w:cs="Arial" w:eastAsia="Arial" w:hAnsi="Arial"/>
          <w:sz w:val="13"/>
          <w:szCs w:val="13"/>
          <w:color w:val="auto"/>
        </w:rPr>
        <w:t>®</w:t>
      </w:r>
      <w:r>
        <w:rPr>
          <w:rFonts w:ascii="Arial" w:cs="Arial" w:eastAsia="Arial" w:hAnsi="Arial"/>
          <w:sz w:val="16"/>
          <w:szCs w:val="16"/>
          <w:color w:val="auto"/>
        </w:rPr>
        <w:t xml:space="preserve"> (palonosetron, a 5-HT</w:t>
      </w:r>
      <w:r>
        <w:rPr>
          <w:rFonts w:ascii="Arial" w:cs="Arial" w:eastAsia="Arial" w:hAnsi="Arial"/>
          <w:sz w:val="13"/>
          <w:szCs w:val="13"/>
          <w:color w:val="auto"/>
        </w:rPr>
        <w:t>3</w:t>
      </w:r>
      <w:r>
        <w:rPr>
          <w:rFonts w:ascii="Arial" w:cs="Arial" w:eastAsia="Arial" w:hAnsi="Arial"/>
          <w:sz w:val="16"/>
          <w:szCs w:val="16"/>
          <w:color w:val="auto"/>
        </w:rPr>
        <w:t xml:space="preserve"> receptor antagonist, combined with netupitant, an NK</w:t>
      </w:r>
      <w:r>
        <w:rPr>
          <w:rFonts w:ascii="Arial" w:cs="Arial" w:eastAsia="Arial" w:hAnsi="Arial"/>
          <w:sz w:val="13"/>
          <w:szCs w:val="13"/>
          <w:color w:val="auto"/>
        </w:rPr>
        <w:t>1</w:t>
      </w:r>
      <w:r>
        <w:rPr>
          <w:rFonts w:ascii="Arial" w:cs="Arial" w:eastAsia="Arial" w:hAnsi="Arial"/>
          <w:sz w:val="16"/>
          <w:szCs w:val="16"/>
          <w:color w:val="auto"/>
        </w:rPr>
        <w:t xml:space="preserve"> receptor antagonist, marketed by Helsinn Therapeutics (U.S.), Inc.); SANCUSO</w:t>
      </w:r>
      <w:r>
        <w:rPr>
          <w:rFonts w:ascii="Arial" w:cs="Arial" w:eastAsia="Arial" w:hAnsi="Arial"/>
          <w:sz w:val="13"/>
          <w:szCs w:val="13"/>
          <w:color w:val="auto"/>
        </w:rPr>
        <w:t>®</w:t>
      </w:r>
      <w:r>
        <w:rPr>
          <w:rFonts w:ascii="Arial" w:cs="Arial" w:eastAsia="Arial" w:hAnsi="Arial"/>
          <w:sz w:val="16"/>
          <w:szCs w:val="16"/>
          <w:color w:val="auto"/>
        </w:rPr>
        <w:t xml:space="preserve"> (granisetron transdermal patch, marketed by ProStrakan Group Plc); and generic products including ondansetron (formerly marketed by GlaxoSmithKline plc as ZOFRAN), granisetron (formerly marketed by Hoffman-La Roche, Inc. as KYTRIL) and palonosetron (formerly marketed by Eisai in conjunction with Helsinn Healthcare S.A. as ALOXI). Currently, palonosetron is the only 5-HT</w:t>
      </w:r>
      <w:r>
        <w:rPr>
          <w:rFonts w:ascii="Arial" w:cs="Arial" w:eastAsia="Arial" w:hAnsi="Arial"/>
          <w:sz w:val="13"/>
          <w:szCs w:val="13"/>
          <w:color w:val="auto"/>
        </w:rPr>
        <w:t>3</w:t>
      </w:r>
      <w:r>
        <w:rPr>
          <w:rFonts w:ascii="Arial" w:cs="Arial" w:eastAsia="Arial" w:hAnsi="Arial"/>
          <w:sz w:val="16"/>
          <w:szCs w:val="16"/>
          <w:color w:val="auto"/>
        </w:rPr>
        <w:t xml:space="preserve"> receptor antagonist other than SUSTOL that is approved for the prevention of delayed CINV associated with MEC regimens.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which is considered to be a HEC regimen by the NCCN and ASCO. No other 5-HT</w:t>
      </w:r>
      <w:r>
        <w:rPr>
          <w:rFonts w:ascii="Arial" w:cs="Arial" w:eastAsia="Arial" w:hAnsi="Arial"/>
          <w:sz w:val="13"/>
          <w:szCs w:val="13"/>
          <w:color w:val="auto"/>
        </w:rPr>
        <w:t>3</w:t>
      </w:r>
      <w:r>
        <w:rPr>
          <w:rFonts w:ascii="Arial" w:cs="Arial" w:eastAsia="Arial" w:hAnsi="Arial"/>
          <w:sz w:val="16"/>
          <w:szCs w:val="16"/>
          <w:color w:val="auto"/>
        </w:rPr>
        <w:t xml:space="preserve"> receptor antagonist is specifically approved for the prevention of delayed CINV associated with a HEC regimen.</w:t>
      </w:r>
    </w:p>
    <w:p>
      <w:pPr>
        <w:spacing w:after="0" w:line="166"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ZYNRELEF will, and HTX-034, if successfully developed for postoperative pain management in the EU will also, face significant competition in the EU. Currently there are numerous generic local anesthetics and other non-opioids for postoperative pain management available in the EU, and other products in development for postoperative pain management may also reach the EU market. For example, in November 2020 the EC granted a marketing authorization for EXPAREL</w:t>
      </w:r>
      <w:r>
        <w:rPr>
          <w:rFonts w:ascii="Arial" w:cs="Arial" w:eastAsia="Arial" w:hAnsi="Arial"/>
          <w:sz w:val="14"/>
          <w:szCs w:val="14"/>
          <w:color w:val="auto"/>
        </w:rPr>
        <w:t>®</w:t>
      </w:r>
      <w:r>
        <w:rPr>
          <w:rFonts w:ascii="Arial" w:cs="Arial" w:eastAsia="Arial" w:hAnsi="Arial"/>
          <w:sz w:val="17"/>
          <w:szCs w:val="17"/>
          <w:color w:val="auto"/>
        </w:rPr>
        <w:t xml:space="preserve"> (bupivacaine liposome injectable suspension, marketed by Pacira BioSciences, Inc. in the U.S.) for postsurgical analgesia. Pacira BioSciences, Inc. has indicated that it anticipates launching EXPAREL in the EU in the second half of 2021.</w:t>
      </w:r>
    </w:p>
    <w:p>
      <w:pPr>
        <w:spacing w:after="0" w:line="176"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If we are able to successfully develop HTX-011 or HTX-034 for postoperative pain management in the U.S., we will compete with MARCAINE</w:t>
      </w:r>
      <w:r>
        <w:rPr>
          <w:rFonts w:ascii="Arial" w:cs="Arial" w:eastAsia="Arial" w:hAnsi="Arial"/>
          <w:sz w:val="13"/>
          <w:szCs w:val="13"/>
          <w:color w:val="auto"/>
        </w:rPr>
        <w:t>TM</w:t>
      </w:r>
      <w:r>
        <w:rPr>
          <w:rFonts w:ascii="Arial" w:cs="Arial" w:eastAsia="Arial" w:hAnsi="Arial"/>
          <w:sz w:val="16"/>
          <w:szCs w:val="16"/>
          <w:color w:val="auto"/>
        </w:rPr>
        <w:t xml:space="preserve"> (bupivacaine hydrochloride injection, solution, marketed by Pfizer Inc.) and generic forms of bupivacaine; NAROPIN</w:t>
      </w:r>
      <w:r>
        <w:rPr>
          <w:rFonts w:ascii="Arial" w:cs="Arial" w:eastAsia="Arial" w:hAnsi="Arial"/>
          <w:sz w:val="13"/>
          <w:szCs w:val="13"/>
          <w:color w:val="auto"/>
        </w:rPr>
        <w:t>®</w:t>
      </w:r>
      <w:r>
        <w:rPr>
          <w:rFonts w:ascii="Arial" w:cs="Arial" w:eastAsia="Arial" w:hAnsi="Arial"/>
          <w:sz w:val="16"/>
          <w:szCs w:val="16"/>
          <w:color w:val="auto"/>
        </w:rPr>
        <w:t xml:space="preserve"> (ropivacaine, marketed by Fresenius Kabi USA, LLC) and generic forms of ropivacaine; EXPAREL</w:t>
      </w:r>
      <w:r>
        <w:rPr>
          <w:rFonts w:ascii="Arial" w:cs="Arial" w:eastAsia="Arial" w:hAnsi="Arial"/>
          <w:sz w:val="13"/>
          <w:szCs w:val="13"/>
          <w:color w:val="auto"/>
        </w:rPr>
        <w:t>®</w:t>
      </w:r>
      <w:r>
        <w:rPr>
          <w:rFonts w:ascii="Arial" w:cs="Arial" w:eastAsia="Arial" w:hAnsi="Arial"/>
          <w:sz w:val="16"/>
          <w:szCs w:val="16"/>
          <w:color w:val="auto"/>
        </w:rPr>
        <w:t xml:space="preserve"> (bupivacaine liposome injectable suspension, marketed by Pacira BioSciences, Inc.); Xaracoll</w:t>
      </w:r>
      <w:r>
        <w:rPr>
          <w:rFonts w:ascii="Arial" w:cs="Arial" w:eastAsia="Arial" w:hAnsi="Arial"/>
          <w:sz w:val="13"/>
          <w:szCs w:val="13"/>
          <w:color w:val="auto"/>
        </w:rPr>
        <w:t>®</w:t>
      </w:r>
      <w:r>
        <w:rPr>
          <w:rFonts w:ascii="Arial" w:cs="Arial" w:eastAsia="Arial" w:hAnsi="Arial"/>
          <w:sz w:val="16"/>
          <w:szCs w:val="16"/>
          <w:color w:val="auto"/>
        </w:rPr>
        <w:t xml:space="preserve"> (bupivacaine HCl implant, marketed by Innocoll Pharmaceuticals Limited); POSIMIR</w:t>
      </w:r>
      <w:r>
        <w:rPr>
          <w:rFonts w:ascii="Arial" w:cs="Arial" w:eastAsia="Arial" w:hAnsi="Arial"/>
          <w:sz w:val="13"/>
          <w:szCs w:val="13"/>
          <w:color w:val="auto"/>
        </w:rPr>
        <w:t>®</w:t>
      </w:r>
      <w:r>
        <w:rPr>
          <w:rFonts w:ascii="Arial" w:cs="Arial" w:eastAsia="Arial" w:hAnsi="Arial"/>
          <w:sz w:val="16"/>
          <w:szCs w:val="16"/>
          <w:color w:val="auto"/>
        </w:rPr>
        <w:t xml:space="preserve"> (marketed by Durect Corporation); ANJESO</w:t>
      </w:r>
      <w:r>
        <w:rPr>
          <w:rFonts w:ascii="Arial" w:cs="Arial" w:eastAsia="Arial" w:hAnsi="Arial"/>
          <w:sz w:val="13"/>
          <w:szCs w:val="13"/>
          <w:color w:val="auto"/>
        </w:rPr>
        <w:t>®</w:t>
      </w:r>
      <w:r>
        <w:rPr>
          <w:rFonts w:ascii="Arial" w:cs="Arial" w:eastAsia="Arial" w:hAnsi="Arial"/>
          <w:sz w:val="16"/>
          <w:szCs w:val="16"/>
          <w:color w:val="auto"/>
        </w:rPr>
        <w:t xml:space="preserve"> (meloxicam injection, marketed by Baudax Bio, Inc.); OFIRMEV</w:t>
      </w:r>
      <w:r>
        <w:rPr>
          <w:rFonts w:ascii="Arial" w:cs="Arial" w:eastAsia="Arial" w:hAnsi="Arial"/>
          <w:sz w:val="13"/>
          <w:szCs w:val="13"/>
          <w:color w:val="auto"/>
        </w:rPr>
        <w:t>®</w:t>
      </w:r>
      <w:r>
        <w:rPr>
          <w:rFonts w:ascii="Arial" w:cs="Arial" w:eastAsia="Arial" w:hAnsi="Arial"/>
          <w:sz w:val="16"/>
          <w:szCs w:val="16"/>
          <w:color w:val="auto"/>
        </w:rPr>
        <w:t xml:space="preserve"> (acetaminophen injection, marketed by Mallinckrodt Pharmaceuticals) and generic forms of IV acetaminophen; and potentially other products in development for postoperative pain management that reach the U.S. market.</w:t>
      </w:r>
    </w:p>
    <w:p>
      <w:pPr>
        <w:spacing w:after="0" w:line="164"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If we are able to successfully develop HTX-011 or HTX-034 for postoperative pain management in Canada, we will compete with MARCAINE</w:t>
      </w:r>
      <w:r>
        <w:rPr>
          <w:rFonts w:ascii="Arial" w:cs="Arial" w:eastAsia="Arial" w:hAnsi="Arial"/>
          <w:sz w:val="13"/>
          <w:szCs w:val="13"/>
          <w:color w:val="auto"/>
        </w:rPr>
        <w:t>TM</w:t>
      </w:r>
      <w:r>
        <w:rPr>
          <w:rFonts w:ascii="Arial" w:cs="Arial" w:eastAsia="Arial" w:hAnsi="Arial"/>
          <w:sz w:val="16"/>
          <w:szCs w:val="16"/>
          <w:color w:val="auto"/>
        </w:rPr>
        <w:t xml:space="preserve"> (bupivacaine hydrochloride injection, solution, marketed by Pfizer Inc.); SENSORCAINE</w:t>
      </w:r>
      <w:r>
        <w:rPr>
          <w:rFonts w:ascii="Arial" w:cs="Arial" w:eastAsia="Arial" w:hAnsi="Arial"/>
          <w:sz w:val="13"/>
          <w:szCs w:val="13"/>
          <w:color w:val="auto"/>
        </w:rPr>
        <w:t>®</w:t>
      </w:r>
      <w:r>
        <w:rPr>
          <w:rFonts w:ascii="Arial" w:cs="Arial" w:eastAsia="Arial" w:hAnsi="Arial"/>
          <w:sz w:val="16"/>
          <w:szCs w:val="16"/>
          <w:color w:val="auto"/>
        </w:rPr>
        <w:t xml:space="preserve"> (bupivacaine and epinephrine injection, marketed by Aspen Pharmacare Canada); NAROPIN</w:t>
      </w:r>
      <w:r>
        <w:rPr>
          <w:rFonts w:ascii="Arial" w:cs="Arial" w:eastAsia="Arial" w:hAnsi="Arial"/>
          <w:sz w:val="13"/>
          <w:szCs w:val="13"/>
          <w:color w:val="auto"/>
        </w:rPr>
        <w:t>®</w:t>
      </w:r>
      <w:r>
        <w:rPr>
          <w:rFonts w:ascii="Arial" w:cs="Arial" w:eastAsia="Arial" w:hAnsi="Arial"/>
          <w:sz w:val="16"/>
          <w:szCs w:val="16"/>
          <w:color w:val="auto"/>
        </w:rPr>
        <w:t xml:space="preserve"> (ropivacaine and hydrochloride, marketed by Aspen Pharmacare Canada); and potentially other products in development for postoperative pain management that reach the Canadian market, including potentially EXPAREL</w:t>
      </w:r>
      <w:r>
        <w:rPr>
          <w:rFonts w:ascii="Arial" w:cs="Arial" w:eastAsia="Arial" w:hAnsi="Arial"/>
          <w:sz w:val="13"/>
          <w:szCs w:val="13"/>
          <w:color w:val="auto"/>
        </w:rPr>
        <w:t>®</w:t>
      </w:r>
      <w:r>
        <w:rPr>
          <w:rFonts w:ascii="Arial" w:cs="Arial" w:eastAsia="Arial" w:hAnsi="Arial"/>
          <w:sz w:val="16"/>
          <w:szCs w:val="16"/>
          <w:color w:val="auto"/>
        </w:rPr>
        <w:t xml:space="preserve"> (bupivacaine liposome injectable suspension, marketed by Pacira BioSciences, Inc. in the U.S.), for which a New Drug Submission was validated by Health Canada.</w:t>
      </w:r>
    </w:p>
    <w:p>
      <w:pPr>
        <w:spacing w:after="0" w:line="16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If we are able to successfully develop HTX-019 for the treatment of PONV, we will compete with generic aprepitant, generic ondansetron, the current standard of care, and BARHEMSYS</w:t>
      </w:r>
      <w:r>
        <w:rPr>
          <w:rFonts w:ascii="Arial" w:cs="Arial" w:eastAsia="Arial" w:hAnsi="Arial"/>
          <w:sz w:val="15"/>
          <w:szCs w:val="15"/>
          <w:color w:val="auto"/>
        </w:rPr>
        <w:t>®</w:t>
      </w:r>
      <w:r>
        <w:rPr>
          <w:rFonts w:ascii="Arial" w:cs="Arial" w:eastAsia="Arial" w:hAnsi="Arial"/>
          <w:sz w:val="18"/>
          <w:szCs w:val="18"/>
          <w:color w:val="auto"/>
        </w:rPr>
        <w:t xml:space="preserve"> (amisulpride, marketed by Acacia Pharma Group Plc) for the prevention and treatment of PONV; TAK-951 (a peptide agonist under development (PH2) by Takeda Pharmaceutical Company Limited for PONV and not approved anywhere globally for any use); and potentially other products in development for PONV management that reach the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ind w:firstLine="589"/>
        <w:spacing w:after="0" w:line="271" w:lineRule="auto"/>
        <w:rPr>
          <w:sz w:val="20"/>
          <w:szCs w:val="20"/>
          <w:color w:val="auto"/>
        </w:rPr>
      </w:pPr>
      <w:r>
        <w:rPr>
          <w:rFonts w:ascii="Arial" w:cs="Arial" w:eastAsia="Arial" w:hAnsi="Arial"/>
          <w:sz w:val="17"/>
          <w:szCs w:val="17"/>
          <w:color w:val="auto"/>
        </w:rPr>
        <w:t>Small or early-stage companies and research institutions may also prove to be significant competitors, particularly through collaborative arrangements with large and established pharmaceutical companies. We will also face competition from these parties in recruiting and retaining qualified scientific and management personnel, establishing clinical trial sites and patient registration for clinical trials, and acquiring and in-licensing technologies and products complementary to our programs or potentially advantageous to our business. If any of our competitors succeed in obtaining approval from the FDA or other regulatory authorities for their product candidates sooner than we do for our Product Candidates that are more effective or less costly than ours, our commercial opportunity could be significantly reduced. Major technological changes can happen quickly in the biotechnology and pharmaceutical industries, and the development of technologically improved or different products or drug delivery technologies may make our product candidates or platform technologies obsolete or noncompetitive.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our Product Candidates may face competition from lower-cost generic products offered by our competitors.</w:t>
      </w:r>
    </w:p>
    <w:p>
      <w:pPr>
        <w:spacing w:after="0" w:line="22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Pricing for therapeutics can be extremely competitive, and strict formulary guidelines enforced by payors may create significant challenges in the acceptance and profitability of branded products. The market for generic products can be very lucrative, and it is dominated by companies that may have much larger distribution capabilities than we may have in the future. It can be very difficult to predict the timing of the launch of generic products given the commonality of litigation with manufacturers over anticipated patent expiration. Our inability to accurately foresee and plan for generic product launches that may compete with our Products and our Product Candidates may significantly impact our potential revenues from such Products and Product Candidates. On the expiration or loss of patent protection for a branded product, or on the “at-risk” launch (despite pending patent infringement litigation against the generic product) by a manufacturer of a generic version of a drug that may compete with one of our products, we could quickly lose a significant portion of our sales of that Product or Product Candidate. The inability for a branded Product or Product Candidate we may sell to successfully compete against generic products could negatively impact sales of our Product or Product Candidate, reduce our ability to grow our business and significantly harm our business prospects.</w:t>
      </w:r>
    </w:p>
    <w:p>
      <w:pPr>
        <w:spacing w:after="0" w:line="18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For example, generic versions of EMEND</w:t>
      </w:r>
      <w:r>
        <w:rPr>
          <w:rFonts w:ascii="Arial" w:cs="Arial" w:eastAsia="Arial" w:hAnsi="Arial"/>
          <w:sz w:val="15"/>
          <w:szCs w:val="15"/>
          <w:color w:val="auto"/>
        </w:rPr>
        <w:t>®</w:t>
      </w:r>
      <w:r>
        <w:rPr>
          <w:rFonts w:ascii="Arial" w:cs="Arial" w:eastAsia="Arial" w:hAnsi="Arial"/>
          <w:sz w:val="18"/>
          <w:szCs w:val="18"/>
          <w:color w:val="auto"/>
        </w:rPr>
        <w:t xml:space="preserve"> IV (fosaprepitant) launched in September 2019 following the expiration of the EMEND IV patents. As a result, we experienced increased competition for CINVANTI, which reduced CINVANTI sales and harmed our business prospects during 2020. These and other risks related to the entry of generic product competing with CINVANTI are difficult to assess in terms of timing and impact on our operations and prospects.</w:t>
      </w:r>
    </w:p>
    <w:p>
      <w:pPr>
        <w:spacing w:after="0" w:line="18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Additionally, while we had expected that generic versions of ALOXI (palonosetron) would launch in September 2018 following the expiration of the ALOXI patents, a U.S. Court of Appeals for the Federal Circuit decision in May 2017 ruled in favor of a generic drug company challenging the ALOXI patents, thereby potentially accelerating the entry of generic versions of ALOXI (palonosetron). The Supreme Court granted certiorari in June 2018 and affirmed the Federal Circuit decision in January 2019. As a result of this litigation, generic versions of ALOXI (palonosetron) have entered the market and we have experienced increased competition for SUSTOL, which has reduced SUSTOL sales and may continue to negatively affect our future business prospects. These and other risks related to the entry of generic product competing with SUSTOL are difficult to assess in terms of timing and impact on our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business and results of operations may suffer as a result of changes in our pricing or marketing strategies.</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an effort to remain competitive in the marketplace, we can determine, from time to time, to change our pricing or marketing strategies for our approved Products, including by altering the amount or availability of discounts or rebates for any of our approved Products. Any such changes could have short-term or long-term negative impacts on our revenues, which would cause our business and results of operations to suffer. For example, in October 2019, we eliminated the discounts on SUSTOL which reduced revenues. Price increases or changes to our marketing strategies may also negatively affect our reputation and our ability to secure and maintain reimbursement coverage for our approved Products, which could result in decreased demand and cause our business and results of operations to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recruit and retain skilled employees, we may not be able to achieve our objectives.</w:t>
      </w:r>
    </w:p>
    <w:p>
      <w:pPr>
        <w:spacing w:after="0" w:line="225"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depend on a small number of key management and personnel. Retaining our current employees and recruiting qualified personnel to perform future research and development and commercialization work will be critical to our success. Competition is always present for highly skilled and experienced personnel, and an inability to recruit or retain sufficient skilled personnel could result in delays in our business growth and development and adversely impact our research and development or commercial activities. If we lose key members of our senior management team, we may not be able to find suitable replacements and our business may be harmed as a result.</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strategy may include acquisitions of other businesses, products or product licenses. We may not be able to successfully manage such activities.</w:t>
      </w:r>
    </w:p>
    <w:p>
      <w:pPr>
        <w:spacing w:after="0" w:line="170"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We may engage in strategic transactions that could cause us to incur contingent liabilities, commitments or significant expense. In the course of pursuing strategic opportunities, we may evaluate potential acquisitions, licenses or investments in strategic technologies, products or businesses. Future acquisitions, licenses or investments could subject us to a number of risks, including, but not limited to:</w:t>
      </w:r>
    </w:p>
    <w:p>
      <w:pPr>
        <w:spacing w:after="0" w:line="184" w:lineRule="exact"/>
        <w:rPr>
          <w:sz w:val="20"/>
          <w:szCs w:val="20"/>
          <w:color w:val="auto"/>
        </w:rPr>
      </w:pPr>
    </w:p>
    <w:p>
      <w:pPr>
        <w:jc w:val="both"/>
        <w:ind w:left="1020" w:right="600" w:hanging="432"/>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appropriately evaluate and take into consideration the potential uncertainties associated with the other party to such a transaction, including, but not limited to, the prospects of that party and their existing products or product candidates and regulatory approvals;</w:t>
      </w:r>
    </w:p>
    <w:p>
      <w:pPr>
        <w:spacing w:after="0" w:line="183" w:lineRule="exact"/>
        <w:rPr>
          <w:rFonts w:ascii="Arial" w:cs="Arial" w:eastAsia="Arial" w:hAnsi="Arial"/>
          <w:sz w:val="18"/>
          <w:szCs w:val="18"/>
          <w:color w:val="auto"/>
        </w:rPr>
      </w:pPr>
    </w:p>
    <w:p>
      <w:pPr>
        <w:ind w:left="1020" w:right="340" w:hanging="43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associated with realizing the perceived potential for commercial success with respect to any acquired or licensed technology, product or business;</w:t>
      </w:r>
    </w:p>
    <w:p>
      <w:pPr>
        <w:spacing w:after="0" w:line="170" w:lineRule="exact"/>
        <w:rPr>
          <w:rFonts w:ascii="Arial" w:cs="Arial" w:eastAsia="Arial" w:hAnsi="Arial"/>
          <w:sz w:val="18"/>
          <w:szCs w:val="18"/>
          <w:color w:val="auto"/>
        </w:rPr>
      </w:pPr>
    </w:p>
    <w:p>
      <w:pPr>
        <w:ind w:left="1020" w:right="580" w:hanging="43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integrate any new technology, product and/or business including personnel, intellectual property or business relationships into our Company;</w:t>
      </w:r>
    </w:p>
    <w:p>
      <w:pPr>
        <w:spacing w:after="0" w:line="170" w:lineRule="exact"/>
        <w:rPr>
          <w:rFonts w:ascii="Arial" w:cs="Arial" w:eastAsia="Arial" w:hAnsi="Arial"/>
          <w:sz w:val="18"/>
          <w:szCs w:val="18"/>
          <w:color w:val="auto"/>
        </w:rPr>
      </w:pPr>
    </w:p>
    <w:p>
      <w:pPr>
        <w:ind w:left="1020" w:right="120" w:hanging="432"/>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generate revenues from acquired or licensed technology and/or products sufficient to meet our objectives in undertaking the acquisition or license or even to offset the associated acquisition and maintenance costs and/or assumption of liabilities; and</w:t>
      </w:r>
    </w:p>
    <w:p>
      <w:pPr>
        <w:spacing w:after="0" w:line="123" w:lineRule="exact"/>
        <w:rPr>
          <w:rFonts w:ascii="Arial" w:cs="Arial" w:eastAsia="Arial" w:hAnsi="Arial"/>
          <w:sz w:val="16"/>
          <w:szCs w:val="16"/>
          <w:color w:val="auto"/>
        </w:rPr>
      </w:pPr>
    </w:p>
    <w:p>
      <w:pPr>
        <w:ind w:left="1020" w:hanging="432"/>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distraction of our management from our existing product development programs and initiatives in pursuing an acquisition or license.</w:t>
      </w:r>
    </w:p>
    <w:p>
      <w:pPr>
        <w:spacing w:after="0" w:line="248"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In connection with an acquisition or license, we must estimate the value of the transaction by making certain assumptions that may prove to be incorrect, which could cause us to fail to realize the anticipated benefits of a transaction. Any strategic transaction we may pursue may not result in the benefits we initially anticipate, may result in costs that end up outweighing the benefits and may adversely impact our financial condition and be detrimental to our future business prospects.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40" w:name="page41"/>
    <w:bookmarkEnd w:id="40"/>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strategy may include entry into collaborative agreements. We may not be able to enter into collaborative agreements or may not be able to negotiate commercially acceptable terms for these agreements.</w:t>
      </w:r>
    </w:p>
    <w:p>
      <w:pPr>
        <w:spacing w:after="0" w:line="170"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Our current business strategy may include the entry into collaborative agreements for the development and commercialization of our Products and our Product Candidates. The negotiation and consummation of these types of agreements typically involve simultaneous discussions with multiple potential collaborators and require significant time and resources from our officers, business development and research and development staff. In addition, in attracting the attention of pharmaceutical and biotechnology company collaborators, we compete with numerous other third parties with product opportunities as well as the collaborators’ own internal product opportunities. We may not be able to consummate collaborative agreements, or we may not be able to negotiate commercially acceptable terms for these agreements.</w:t>
      </w:r>
    </w:p>
    <w:p>
      <w:pPr>
        <w:spacing w:after="0" w:line="178"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If we do enter into such arrangements, we could be dependent on the subsequent success of these other parties in performing their respective responsibilities and the cooperation of our partners. Our collaborators may not cooperate with us or perform their obligations under our agreements with them. We cannot control the amount and timing of our collaborators’ resources that will be devoted to researching our Product Candidates pursuant to our collaborative agreements with them. Our collaborators may choose to pursue existing or alternative technologies in preference to those being developed in collaboration with us.</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 agreements with any collaborators we may work with in the future, we may rely significantly on them to, among other activities:</w:t>
      </w:r>
    </w:p>
    <w:p>
      <w:pPr>
        <w:spacing w:after="0" w:line="211" w:lineRule="exact"/>
        <w:rPr>
          <w:sz w:val="20"/>
          <w:szCs w:val="20"/>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research and development activities with us;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us fees on the achievement of milestones; and</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for or with us any commercial products that result from our collaborations.</w:t>
      </w:r>
    </w:p>
    <w:p>
      <w:pPr>
        <w:spacing w:after="0" w:line="22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If we do not consummate collaborative agreements, we may use our financial resources more rapidly on our product development efforts, continue to defer certain development activities or forego the exploitation of certain geographic territories, any of which could have a material adverse effect on our business prospects. Further, we may not be successful in overseeing any such collaborative arrangements. If we fail to establish and maintain necessary collaborative relationships, our business prospects could suffer.</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operations, growth and corporate culture could be harmed by the effects of the ongoing COVID-19 pandemic and actions taken in response to the COVID-19 pandemic.</w:t>
      </w:r>
    </w:p>
    <w:p>
      <w:pPr>
        <w:spacing w:after="0" w:line="170" w:lineRule="exact"/>
        <w:rPr>
          <w:sz w:val="20"/>
          <w:szCs w:val="20"/>
          <w:color w:val="auto"/>
        </w:rPr>
      </w:pPr>
    </w:p>
    <w:p>
      <w:pPr>
        <w:ind w:right="200" w:firstLine="426"/>
        <w:spacing w:after="0" w:line="259" w:lineRule="auto"/>
        <w:rPr>
          <w:sz w:val="20"/>
          <w:szCs w:val="20"/>
          <w:color w:val="auto"/>
        </w:rPr>
      </w:pPr>
      <w:r>
        <w:rPr>
          <w:rFonts w:ascii="Arial" w:cs="Arial" w:eastAsia="Arial" w:hAnsi="Arial"/>
          <w:sz w:val="18"/>
          <w:szCs w:val="18"/>
          <w:color w:val="auto"/>
        </w:rPr>
        <w:t>We are subject to risks related to public health crises such as the global pandemic associated with the novel coronavirus and the associated disease. We are unable to accurately predict the full impact that the ongoing COVID-19 pandemic will have on our results of operations, cash flows and financial condition. We may experience disruptions that could severely impact our sales, business, operations, preclinical and clinical studies and corporate culture, such as:</w:t>
      </w:r>
    </w:p>
    <w:p>
      <w:pPr>
        <w:spacing w:after="0" w:line="187" w:lineRule="exact"/>
        <w:rPr>
          <w:sz w:val="20"/>
          <w:szCs w:val="20"/>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sales of our Products and our Product Candidates;</w:t>
      </w:r>
    </w:p>
    <w:p>
      <w:pPr>
        <w:spacing w:after="0" w:line="225" w:lineRule="exact"/>
        <w:rPr>
          <w:rFonts w:ascii="Arial" w:cs="Arial" w:eastAsia="Arial" w:hAnsi="Arial"/>
          <w:sz w:val="18"/>
          <w:szCs w:val="18"/>
          <w:color w:val="auto"/>
        </w:rPr>
      </w:pPr>
    </w:p>
    <w:p>
      <w:pPr>
        <w:ind w:left="980" w:right="220" w:hanging="432"/>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fewer individuals undertaking or completing cancer treatments and elective surgeries, whether due to contracting COVID-19, self-isolating or quarantining to lower the risk of contracting COVID-19, or being unable to access care as a result of healthcare providers tending to COVID-19 patients;</w:t>
      </w:r>
    </w:p>
    <w:p>
      <w:pPr>
        <w:spacing w:after="0" w:line="183" w:lineRule="exact"/>
        <w:rPr>
          <w:rFonts w:ascii="Arial" w:cs="Arial" w:eastAsia="Arial" w:hAnsi="Arial"/>
          <w:sz w:val="18"/>
          <w:szCs w:val="18"/>
          <w:color w:val="auto"/>
        </w:rPr>
      </w:pPr>
    </w:p>
    <w:p>
      <w:pPr>
        <w:ind w:left="980" w:right="160" w:hanging="432"/>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 manufacturers not being able to maintain adequate (in amount and quality) supply to support the commercial sale of our Products and our Product Candidates, or the clinical development of our Product Candidates due to staffing shortages, production slowdowns or stoppages and disruptions in delivery systems;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1" w:name="page42"/>
    <w:bookmarkEnd w:id="41"/>
    <w:p>
      <w:pPr>
        <w:ind w:left="980" w:right="160" w:hanging="43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difficulties in clinical site initiation, including difficulties in recruiting clinical site investigators and clinical site staff, delays or difficulties in enrolling patients or maintaining enrolled patients in our clinical trials and failure of our CROs to perform all or a part of their obligations;</w:t>
      </w:r>
    </w:p>
    <w:p>
      <w:pPr>
        <w:spacing w:after="0" w:line="183"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which may impact regulatory review and approval timelines;</w:t>
      </w:r>
    </w:p>
    <w:p>
      <w:pPr>
        <w:spacing w:after="0" w:line="170" w:lineRule="exact"/>
        <w:rPr>
          <w:rFonts w:ascii="Arial" w:cs="Arial" w:eastAsia="Arial" w:hAnsi="Arial"/>
          <w:sz w:val="18"/>
          <w:szCs w:val="18"/>
          <w:color w:val="auto"/>
        </w:rPr>
      </w:pPr>
    </w:p>
    <w:p>
      <w:pPr>
        <w:ind w:left="980" w:right="220" w:hanging="43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employee resources, and those of our business partners, that would otherwise be focused on the conduct of our business in all aspects, including because of sickness of employees or members of their families and inherent difficulties involved with transitioning to and maintaining a remote working structure amidst a global pandemic;</w:t>
      </w:r>
    </w:p>
    <w:p>
      <w:pPr>
        <w:spacing w:after="0" w:line="183" w:lineRule="exact"/>
        <w:rPr>
          <w:rFonts w:ascii="Arial" w:cs="Arial" w:eastAsia="Arial" w:hAnsi="Arial"/>
          <w:sz w:val="18"/>
          <w:szCs w:val="18"/>
          <w:color w:val="auto"/>
        </w:rPr>
      </w:pPr>
    </w:p>
    <w:p>
      <w:pPr>
        <w:ind w:left="980" w:right="200" w:hanging="432"/>
        <w:spacing w:after="0" w:line="25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prolonged and broad-based shift to a remote working environment continues to create inherent productivity, connectivity, and oversight challenges and could affect our ability to market our Products and develop and seek regulatory approvals for our Product Candidates. In addition, the changed environment under which we are operating could have an effect on our internal controls over financial reporting as well as our ability to meet a number of our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we prepare to potentially return our workforce back to the office and field in 2021, we may experience increased costs as we prepare our facilities for a safe return to work environment and experiment with hybrid work models, in addition to potential effects on our ability to compete effectively and maintain our corporate culture; and</w:t>
      </w:r>
    </w:p>
    <w:p>
      <w:pPr>
        <w:spacing w:after="0" w:line="194" w:lineRule="exact"/>
        <w:rPr>
          <w:rFonts w:ascii="Arial" w:cs="Arial" w:eastAsia="Arial" w:hAnsi="Arial"/>
          <w:sz w:val="18"/>
          <w:szCs w:val="18"/>
          <w:color w:val="auto"/>
        </w:rPr>
      </w:pPr>
    </w:p>
    <w:p>
      <w:pPr>
        <w:ind w:left="980" w:hanging="43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global financial markets, which could reduce our ability to access capital and negatively affect our liquidity.</w:t>
      </w:r>
    </w:p>
    <w:p>
      <w:pPr>
        <w:spacing w:after="0" w:line="225" w:lineRule="exact"/>
        <w:rPr>
          <w:sz w:val="20"/>
          <w:szCs w:val="20"/>
          <w:color w:val="auto"/>
        </w:rPr>
      </w:pPr>
    </w:p>
    <w:p>
      <w:pPr>
        <w:ind w:right="200" w:firstLine="425"/>
        <w:spacing w:after="0" w:line="301" w:lineRule="auto"/>
        <w:rPr>
          <w:sz w:val="20"/>
          <w:szCs w:val="20"/>
          <w:color w:val="auto"/>
        </w:rPr>
      </w:pPr>
      <w:r>
        <w:rPr>
          <w:rFonts w:ascii="Arial" w:cs="Arial" w:eastAsia="Arial" w:hAnsi="Arial"/>
          <w:sz w:val="16"/>
          <w:szCs w:val="16"/>
          <w:color w:val="auto"/>
        </w:rPr>
        <w:t>These and other factors arising from the COVID-19 pandemic could result in us not being able to maintain market position or increase market penetration for our Products and our Product Candidates, and could result in our inability to meet development milestones for our Product Candidates, each of which would harm our business, financial condition, results of operations and growth. In addition, the COVID-19 pandemic and actions taken in response to it by governments, businesses and individuals may give rise to or amplify the other risks discussed under this section entitled “Risk Factors.”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Natural or man-made disasters, including epidemics, pandemics, acts of war or terrorism, or resource shortages, could disrupt our investigational drug candidate development and approved drug commercialization efforts and adversely affect results.</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ongoing or planned clinical studies and approved drug commercialization efforts could be delayed or disrupted indefinitely on the occurrence of a natural or man-made disaster, including an epidemic, pandemic, or acts of war or terrorism, or resource shortages. For example, COVID-19 has caused a decline in, and suspensions of, elective surgeries, which negatively impacts our ability to conduct our clinical trials and, if it continues, could decrease the potential market opportunities for ZYNRELEF in Europe and HTX-011, HTX-019 and HTX-034, if approved, in the U.S. or other markets. In addition, COVID-19 has slowed the diagnosis procedures to identify cancer and may reduce the number of new cancer patients seeking treatment which may negatively impact our CINV products. We are also vulnerable to damage from other disasters, such as power loss, fire, floods, hurricanes and similar events. For example, a natural or man-made disaster, including an epidemic, pandemic, or act of war or terrorism, and the resulting damage could negatively impact enrollment and participation in our clinical studies, divert attention and resources at our research sites, cause unanticipated delays in the collection and receipt of data from our clinical studies, cause unanticipated delays in communications with, and any required approvals from, the FDA, EMA, United Kingdom’s Medicines and Healthcare Products Regulatory Agency, Health Canada, and other regulatory authorities, and cause unanticipated delays in the manufacturing and distribution of our Products, our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color w:val="auto"/>
        </w:rPr>
        <w:t>Product Candidates and any other products we may develop. If a significant disaster occurs, our ability to continue our operations could be seriously impaired and we may not have adequate insurance to cover any resulting losses. Any significant unrecoverable losses could seriously impair our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we expect to generate losses in the near future, and we may never achieve or maintain profitability.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incurred significant operating losses and negative cash flows from operations and had an accumulated deficit of $1.4 billion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 expect to continue to generate substantial losses over at least the next several years as we:</w:t>
      </w:r>
    </w:p>
    <w:p>
      <w:pPr>
        <w:spacing w:after="0" w:line="211" w:lineRule="exact"/>
        <w:rPr>
          <w:sz w:val="20"/>
          <w:szCs w:val="20"/>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product development activities with respect to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preclinical development and clinical trials for our Product Candidates;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regulatory approvals for any current or future Product Candidates; and</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commercialization efforts for any future approved Product Candidates.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the amount we spend will impact our profitability. Our spending will depend, in part, on:</w:t>
      </w:r>
    </w:p>
    <w:p>
      <w:pPr>
        <w:spacing w:after="0" w:line="225" w:lineRule="exact"/>
        <w:rPr>
          <w:sz w:val="20"/>
          <w:szCs w:val="20"/>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Product Candidates we pursue;</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for our Product Candidates, including clinical trials;</w:t>
      </w:r>
    </w:p>
    <w:p>
      <w:pPr>
        <w:spacing w:after="0" w:line="225"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expense required to pursue FDA and/or non-U.S. regulatory approvals for our Product Candidates, whether such approvals are obtained and the scope of any approved product label;</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possible acquisitions of technologies, compounds, product rights or companies;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obtaining licenses to use technology owned by others for proprietary products and otherwise;</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expense required to prosecute, enforce and/or challenge patent and other intellectual property rights;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potential litigation; and</w:t>
      </w:r>
    </w:p>
    <w:p>
      <w:pPr>
        <w:spacing w:after="0" w:line="225"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recruiting and compensating a highly skilled workforce in an environment where competition for such employees may be intense.</w:t>
      </w:r>
    </w:p>
    <w:p>
      <w:pPr>
        <w:spacing w:after="0" w:line="170"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To achieve and sustain profitability, we must, alone or in cooperation with others, successfully develop, obtain regulatory approval for, manufacture, market and sell our Products, including our current work commercializing our Products and our anticipated work commercializing our Product Candidates. We will incur substantial expenses in our efforts to develop and commercialize our Products and our Product Candidates and we may never generate sufficient revenue to become profitable or to sustain profitability.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ind w:right="140"/>
        <w:spacing w:after="0" w:line="277" w:lineRule="auto"/>
        <w:rPr>
          <w:sz w:val="20"/>
          <w:szCs w:val="20"/>
          <w:color w:val="auto"/>
        </w:rPr>
      </w:pPr>
      <w:r>
        <w:rPr>
          <w:rFonts w:ascii="Arial" w:cs="Arial" w:eastAsia="Arial" w:hAnsi="Arial"/>
          <w:sz w:val="18"/>
          <w:szCs w:val="18"/>
          <w:b w:val="1"/>
          <w:bCs w:val="1"/>
          <w:i w:val="1"/>
          <w:iCs w:val="1"/>
          <w:color w:val="auto"/>
        </w:rPr>
        <w:t>Additional capital may be needed in the future to enable us to implement our business plan, and we may be unable to raise capital, which would force us to limit or cease our operations and related product development programs.</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As of December 31, 2020, we had cash, cash equivalents and short-term investments of $208.5 million. Historically, we have financed our operations, including technology and product research and development, primarily through sales of our common stock and debt financings. Our capital requirements going forward will depend on numerous factors, including but not limited to: the costs associated with the commercial launch of our Product Candidates in the U.S. and making ZYNRELEF and our Product Candidates commercially available outside of the U.S.; the degree of commercial success of our Products and our Product Candidates; the scope, rate of progress, results and costs of preclinical testing and clinical trials; the timing and cost to manufacture our Products and our Product Candidates; the number and characteristics of product development programs we pursue and the pace of each program, including the timing of clinical trials; the time, cost and outcome involved in seeking other regulatory approvals; scientific progress in our research and development programs; the magnitude and scope of our research and development programs; our ability to establish and maintain strategic collaborations or partnerships for research, development, clinical testing, manufacturing and marketing of our Product Candidates; the impact of competitive products; the cost and timing of establishing sales, marketing and distribution capabilities if we commercialize products independently; the cost of establishing clinical and commercial supplies of our Product Candidates and any other products that we may develop; the extent of the impact of the ongoing COVID-19 pandemic on our business; and general market conditions.</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when needed or desired, or we may need to raise additional capital on unfavorable terms, which could result in dilution to existing stockholders.</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We may not be able to raise sufficient additional capital when needed on favorable terms, or at all. If we are unable to obtain adequate funds, we may be required to curtail significantly or cease our operations.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timing and degree of any future capital requirements will depend on many factors, including:</w:t>
      </w:r>
    </w:p>
    <w:p>
      <w:pPr>
        <w:spacing w:after="0" w:line="225" w:lineRule="exact"/>
        <w:rPr>
          <w:sz w:val="20"/>
          <w:szCs w:val="20"/>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commercialize, market and achieve market acceptance of our Products and our Product Candidates;</w:t>
      </w:r>
    </w:p>
    <w:p>
      <w:pPr>
        <w:spacing w:after="0" w:line="225" w:lineRule="exact"/>
        <w:rPr>
          <w:rFonts w:ascii="Arial" w:cs="Arial" w:eastAsia="Arial" w:hAnsi="Arial"/>
          <w:sz w:val="18"/>
          <w:szCs w:val="18"/>
          <w:color w:val="auto"/>
        </w:rPr>
      </w:pPr>
    </w:p>
    <w:p>
      <w:pPr>
        <w:ind w:left="1020" w:right="26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status of regulatory approval of any pending applications with the FDA, or other regulators, as the case may be, and the costs involved with pursuing regulatory approvals;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product development programs we pursue and the pace of each program;</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results and costs of preclinical testing and clinical trials;</w:t>
      </w:r>
    </w:p>
    <w:p>
      <w:pPr>
        <w:spacing w:after="0" w:line="225" w:lineRule="exact"/>
        <w:rPr>
          <w:rFonts w:ascii="Arial" w:cs="Arial" w:eastAsia="Arial" w:hAnsi="Arial"/>
          <w:sz w:val="18"/>
          <w:szCs w:val="18"/>
          <w:color w:val="auto"/>
        </w:rPr>
      </w:pPr>
    </w:p>
    <w:p>
      <w:pPr>
        <w:ind w:left="1020" w:right="28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or partnerships for research, development, clinical testing, manufacturing and marketing of our Product Candidates;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establishing or enlarging sales and marketing capabilities;</w:t>
      </w:r>
    </w:p>
    <w:p>
      <w:pPr>
        <w:spacing w:after="0" w:line="225"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supply arrangements for clinical and commercial development of our Products, our Product Candidates and any other products that we may develop; and</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the impact of the ongoing COVID-19 pandemic on our business.</w:t>
      </w:r>
    </w:p>
    <w:p>
      <w:pPr>
        <w:spacing w:after="0" w:line="225"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we issue additional equity securities or securities convertible into equity securities to raise funds, our stockholders will suffer dilution of their investment, and such issuance may adversely affect the market price of our common stock.</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4" w:name="page45"/>
    <w:bookmarkEnd w:id="44"/>
    <w:p>
      <w:pPr>
        <w:ind w:firstLine="589"/>
        <w:spacing w:after="0" w:line="290" w:lineRule="auto"/>
        <w:rPr>
          <w:sz w:val="20"/>
          <w:szCs w:val="20"/>
          <w:color w:val="auto"/>
        </w:rPr>
      </w:pPr>
      <w:r>
        <w:rPr>
          <w:rFonts w:ascii="Arial" w:cs="Arial" w:eastAsia="Arial" w:hAnsi="Arial"/>
          <w:sz w:val="16"/>
          <w:szCs w:val="16"/>
          <w:color w:val="auto"/>
        </w:rPr>
        <w:t>Any new debt financing we enter into may involve covenants that restrict our operations. These restrictive covenants may include, among other things, limitations on borrowing and specific restrictions on the use of our assets, as well as prohibitions on our ability to create liens, pay dividends, redeem capital stock or make investments. Our Senior Secured Convertible Notes (“Convertible Notes”) also include restrictions on our use of cash and financial activities, and are secured by liens on substantially all of our assets. In the event that additional funds are obtained through arrangements with collaborative partners, these arrangements may require us to relinquish rights to some of our technologies, Product Candidates or Products on terms that are not favorable to us or require us to enter into a collaboration arrangement that we would otherwise seek to develop and commercialize ourselves. If adequate funds are not available, we may default on our indebtedness, be required to delay, reduce the scope of, or eliminate one or more of our product development programs and reduce personnel-related and other costs, which would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contained in our debt instruments limit our ability to incur additional indebtedness.</w:t>
      </w:r>
    </w:p>
    <w:p>
      <w:pPr>
        <w:spacing w:after="0" w:line="22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Convertible Notes are secured by substantially all of our assets, including our bank and investment accounts, and the terms of the Convertible Notes require us to seek approval from the holders of the Convertible Notes before taking certain actions, including incurring certain additional indebtedness or modifying the terms of certain existing indebtedness. The Convertible Notes also contain provisions that trigger events of default on any default of our financial obligations under certain material contracts we may enter into. In addition, potential third-party lenders may be unwilling to subordinate new debt to the Convertible Notes. As a result, we may not be able to raise funds through the issuance of debt in the future, which could impair our ability to finance our business obligations or pursue business expansion initiatives.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could be exposed to significant product liability claims that could be time-consuming and costly to defend, divert management attention and adversely impact our ability to obtain and maintain insurance coverage.</w:t>
      </w:r>
    </w:p>
    <w:p>
      <w:pPr>
        <w:spacing w:after="0" w:line="170" w:lineRule="exact"/>
        <w:rPr>
          <w:sz w:val="20"/>
          <w:szCs w:val="20"/>
          <w:color w:val="auto"/>
        </w:rPr>
      </w:pPr>
    </w:p>
    <w:p>
      <w:pPr>
        <w:jc w:val="both"/>
        <w:ind w:right="120" w:firstLine="589"/>
        <w:spacing w:after="0" w:line="259" w:lineRule="auto"/>
        <w:rPr>
          <w:sz w:val="20"/>
          <w:szCs w:val="20"/>
          <w:color w:val="auto"/>
        </w:rPr>
      </w:pPr>
      <w:r>
        <w:rPr>
          <w:rFonts w:ascii="Arial" w:cs="Arial" w:eastAsia="Arial" w:hAnsi="Arial"/>
          <w:sz w:val="18"/>
          <w:szCs w:val="18"/>
          <w:color w:val="auto"/>
        </w:rPr>
        <w:t>The administration of drugs in humans, whether in clinical studies or commercially, carries the inherent risk of product liability claims whether or not the drugs are actually the cause of an injury. Our Products, our Product Candidates and other products that we may commercially market in the future may cause, or may appear to have caused, injury or dangerous drug reactions, and we may not learn about or understand those effects until the Product or Product Candidate has been administered to patients for a prolonged period of time.</w:t>
      </w:r>
    </w:p>
    <w:p>
      <w:pPr>
        <w:spacing w:after="0" w:line="18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Although we are insured against such risks up to an annual aggregate limit in connection with clinical trials and commercial sales of our Products, our present product liability insurance may be inadequate and may not fully cover the costs of any claim or any ultimate damages we might be required to pay. Product liability claims or other claims related to our Products, regardless of their outcome, could require us to spend significant time and money in litigation or to pay significant damages. Any successful product liability claim may prevent us from obtaining adequate product liability insurance in the future on commercially desirable or reasonable terms. In addition, product liability coverage may cease to be available in sufficient amounts or at an acceptable cost. An inability to obtain sufficient insurance coverage at an acceptable cost or otherwise to protect against potential product liability claims could prevent or inhibit the commercialization of our Products. A product liability claim could also significantly harm our reputation and delay market acceptance of our Products.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b w:val="1"/>
          <w:bCs w:val="1"/>
          <w:i w:val="1"/>
          <w:iCs w:val="1"/>
          <w:color w:val="3A3A3A"/>
        </w:rPr>
        <w:t>If any of our services providers are characterized as employees, we would be subject to employment and tax withholding liabilities and other additional costs.</w:t>
      </w:r>
    </w:p>
    <w:p>
      <w:pPr>
        <w:spacing w:after="0" w:line="170" w:lineRule="exact"/>
        <w:rPr>
          <w:sz w:val="20"/>
          <w:szCs w:val="20"/>
          <w:color w:val="auto"/>
        </w:rPr>
      </w:pPr>
    </w:p>
    <w:p>
      <w:pPr>
        <w:ind w:firstLine="540"/>
        <w:spacing w:after="0" w:line="284" w:lineRule="auto"/>
        <w:rPr>
          <w:sz w:val="20"/>
          <w:szCs w:val="20"/>
          <w:color w:val="auto"/>
        </w:rPr>
      </w:pPr>
      <w:r>
        <w:rPr>
          <w:rFonts w:ascii="Arial" w:cs="Arial" w:eastAsia="Arial" w:hAnsi="Arial"/>
          <w:sz w:val="16"/>
          <w:szCs w:val="16"/>
          <w:color w:val="3A3A3A"/>
        </w:rPr>
        <w:t>We rely on independent third parties to provide certain services to us. We structure our relationships with these outside services providers in a manner that we believe results in an independent contractor relationship, not an employee relationship. An independent contractor is generally distinguished from an employee by his or her degree of autonomy and independence in providing services. A high degree of autonomy and independence is generally indicative of an independent contractor relationship, while a high degree of control is generally indicative of an employment relationship. Tax or other regulatory authorities may challenge our characterization of services providers as independent contractors both under existing laws and regulations and under laws and regulations adopted in the future. We are aware of a number of judicial decisions and legislative proposals that could bring about major changes in the way workers are classified, including the California legislature’s recent passage of California Assembly Bill 5, which California Governor Gavin Newsom signed into law in September 2019 (“AB 5”) and Assembly Bill 2257, which went into effect in September 2020 and amended certain portions of AB 5 (“AB 2257”). AB 5 and AB 2257 are often referred to collectively simply as AB 5. AB 5 purports to codify the holding of the California Supreme Court’s unanimous decision in Dynamex Operations West, Inc. v. Superior Court of Los Angeles, which introduced a new test for determining worker classification that is widely viewed as expanding the scope of employee relationships and narrowing the scope of independent contractor relationships. While AB 5 exempts certain licensed health care professionals, including physicians and psychologists, not all of our independent contractors work in exempt occupations. Given AB 5’s recent passage, there is little guidance from the regulatory authorities charged with its enforcement and there is a significant degree of uncertainty regarding its application. In addition, AB 5 has been the subject of widespread national discussion and it is possible that other jurisdictions might enact similar laws. As a result, there is significant uncertainty regarding what the state, federal and foreign worker classification regulatory landscape will look like in future years. The current economic climate indicates that the debate over worker classification will continue for the foreseeable future. If such regulatory authorities or state, federal or foreign courts were to determine that our services providers are employees and not independent contractors, we would, among other things, be required to withhold income taxes, to withhold and pay Social Security, Medicare and similar taxes, to pay unemployment and other related payroll taxes, and to provide certain employee benefits. We could also be liable for unpaid past taxes and other costs and subject to penalties. As a result, any determination that the services providers we characterize as independent contractors are our employees could have a material adverse effect on our business, financial condition and results of operations.</w:t>
      </w:r>
    </w:p>
    <w:p>
      <w:pPr>
        <w:spacing w:after="0" w:line="18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investment of our cash is subject to risks, which may cause losses or adversely affect the liquidity of these investments and our results of operations, liquidity and financial condition.</w:t>
      </w:r>
    </w:p>
    <w:p>
      <w:pPr>
        <w:spacing w:after="0" w:line="17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A significant amount of our assets are comprised of cash, cash equivalents and short-term investments. These investments of cash, cash equivalents and short-term investments are subject to general credit, liquidity, market and interest rate risks, which have been and may, in the future, be exacerbated by a U.S. and/or global financial crisis. We may realize losses in the fair value of certain of our investments or a complete loss of these investments if the credit markets tighten, which would have an adverse effect on our results of operations, liquidity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Conducting clinical trials is a lengthy, time-consuming and expensive process. For example, we incurred significant expenses in developing our Products, with no guarantees that doing so would result in a commercially viable product. Before obtaining regulatory approvals for the commercial sale of any products, we, or our potential partners, must demonstrate through preclinical testing and clinical trials that our Product Candidates are safe and effective for their intended uses in humans. We have incurred and will continue to incur substantial expense and devote a significant amount of time to preclinical testing and clinical trials.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6" w:name="page47"/>
    <w:bookmarkEnd w:id="46"/>
    <w:p>
      <w:pPr>
        <w:ind w:right="100" w:firstLine="589"/>
        <w:spacing w:after="0" w:line="272" w:lineRule="auto"/>
        <w:rPr>
          <w:sz w:val="20"/>
          <w:szCs w:val="20"/>
          <w:color w:val="auto"/>
        </w:rPr>
      </w:pPr>
      <w:r>
        <w:rPr>
          <w:rFonts w:ascii="Arial" w:cs="Arial" w:eastAsia="Arial" w:hAnsi="Arial"/>
          <w:sz w:val="17"/>
          <w:szCs w:val="17"/>
          <w:color w:val="auto"/>
        </w:rPr>
        <w:t>The outcome of clinical testing is inherently uncertain. Failure can occur at any time during the clinical trial process. The results of preclinical studies and early clinical trials of product candidates may not be predictive of the results of later-stage clinical trials. In addition, regulations are not static, and regulatory agencies, including the FDA, alter their staff, interpretations and practices and may in the future impose more stringent requirements than are currently in effect, which may adversely affect our planned drug development and/or our commercialization efforts. Satisfying regulatory requirements typically takes a significant number of years and can vary substantially based on the type, complexity and novelty of the product candidate. Our business, results of operations and financial condition may be materially adversely affected by any delays in, or termination of, our clinical trials. Factors that could impede our ability to generate commercially viable products through the conduct of clinical trials include:</w:t>
      </w:r>
    </w:p>
    <w:p>
      <w:pPr>
        <w:spacing w:after="0" w:line="177" w:lineRule="exact"/>
        <w:rPr>
          <w:sz w:val="20"/>
          <w:szCs w:val="20"/>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funds to conduct clinical trials;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find partners, if necessary, for support, including research, development, manufacturing or clinical needs;</w:t>
      </w:r>
    </w:p>
    <w:p>
      <w:pPr>
        <w:spacing w:after="0" w:line="225"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tests or studies necessary to submit an NDA, such as clinical studies, bioequivalence studies in support of a 505(b)(2) regulatory filing, or stability studies;</w:t>
      </w:r>
    </w:p>
    <w:p>
      <w:pPr>
        <w:spacing w:after="0" w:line="170" w:lineRule="exact"/>
        <w:rPr>
          <w:rFonts w:ascii="Arial" w:cs="Arial" w:eastAsia="Arial" w:hAnsi="Arial"/>
          <w:sz w:val="18"/>
          <w:szCs w:val="18"/>
          <w:color w:val="auto"/>
        </w:rPr>
      </w:pPr>
    </w:p>
    <w:p>
      <w:pPr>
        <w:ind w:left="1020" w:right="46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clinical trials to demonstrate the safety and efficacy of our Product Candidates to the extent necessary to obtain regulatory approvals;</w:t>
      </w:r>
    </w:p>
    <w:p>
      <w:pPr>
        <w:spacing w:after="0" w:line="170" w:lineRule="exact"/>
        <w:rPr>
          <w:rFonts w:ascii="Arial" w:cs="Arial" w:eastAsia="Arial" w:hAnsi="Arial"/>
          <w:sz w:val="18"/>
          <w:szCs w:val="18"/>
          <w:color w:val="auto"/>
        </w:rPr>
      </w:pPr>
    </w:p>
    <w:p>
      <w:pPr>
        <w:ind w:left="1020" w:right="56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by us or third-party investigators, CROs, or other third parties involved in the research to adhere to regulatory requirements applicable to the conduct of clinical trials;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preclinical testing and early clinical trials to predict results of later clinical trials;</w:t>
      </w:r>
    </w:p>
    <w:p>
      <w:pPr>
        <w:spacing w:after="0" w:line="225" w:lineRule="exact"/>
        <w:rPr>
          <w:rFonts w:ascii="Arial" w:cs="Arial" w:eastAsia="Arial" w:hAnsi="Arial"/>
          <w:sz w:val="18"/>
          <w:szCs w:val="18"/>
          <w:color w:val="auto"/>
        </w:rPr>
      </w:pPr>
    </w:p>
    <w:p>
      <w:pPr>
        <w:ind w:left="1020" w:right="80" w:hanging="432"/>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 in completion of clinical trials caused by a regional, national or global disturbance where we or our collaborative partners are enrolling patients in clinical studies, such as a pandemic (including COVID-19), terrorist activities, or war, political unrest, a natural or man-made disaster or any other reason or event, resulting in increased costs;</w:t>
      </w:r>
    </w:p>
    <w:p>
      <w:pPr>
        <w:spacing w:after="0" w:line="183"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 in obtaining advice from the FDA or similar regulatory authorities; and</w:t>
      </w:r>
    </w:p>
    <w:p>
      <w:pPr>
        <w:spacing w:after="0" w:line="225" w:lineRule="exact"/>
        <w:rPr>
          <w:rFonts w:ascii="Arial" w:cs="Arial" w:eastAsia="Arial" w:hAnsi="Arial"/>
          <w:sz w:val="18"/>
          <w:szCs w:val="18"/>
          <w:color w:val="auto"/>
        </w:rPr>
      </w:pPr>
    </w:p>
    <w:p>
      <w:pPr>
        <w:ind w:left="1020" w:right="48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obtain regulatory approval of our Product Candidates following completion of clinical trials, or delays in obtaining such approvals.</w:t>
      </w:r>
    </w:p>
    <w:p>
      <w:pPr>
        <w:spacing w:after="0" w:line="170"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 xml:space="preserve">There can be no assurance that if our clinical trials are successfully initiated and completed we will be able to obtain approval by the FDA in the U.S. or similar regulatory authorities elsewhere in the world in a timely manner, if at all. For example, a CRL was received from the FDA regarding the NDA for HTX-011 on June 26, 2020, stating that it was unable to approve the application in its current form based on the need for additional non-clinical information. Based on the complete review of the NDA, the FDA did not identify any clinical safety or efficacy issues or CMC issues. </w:t>
      </w:r>
      <w:r>
        <w:rPr>
          <w:rFonts w:ascii="Arial" w:cs="Arial" w:eastAsia="Arial" w:hAnsi="Arial"/>
          <w:sz w:val="16"/>
          <w:szCs w:val="16"/>
          <w:color w:val="1E1E1E"/>
        </w:rPr>
        <w:t xml:space="preserve">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Even if we are successful in resolving some or all of the matters raised by the FDA in the CRL, there is significant risk that we will be</w:t>
      </w:r>
      <w:r>
        <w:rPr>
          <w:rFonts w:ascii="Arial" w:cs="Arial" w:eastAsia="Arial" w:hAnsi="Arial"/>
          <w:sz w:val="16"/>
          <w:szCs w:val="16"/>
          <w:color w:val="1E1E1E"/>
        </w:rPr>
        <w:t xml:space="preserve"> </w:t>
      </w:r>
      <w:r>
        <w:rPr>
          <w:rFonts w:ascii="Arial" w:cs="Arial" w:eastAsia="Arial" w:hAnsi="Arial"/>
          <w:sz w:val="16"/>
          <w:szCs w:val="16"/>
          <w:color w:val="000000"/>
        </w:rPr>
        <w:t>unable to obtain FDA approval for HTX-011 on a timely basis or at all. If we fail to successfully develop and commercialize one or more of our Product Candidates, we may be unable to generate sufficient revenues to attain profitability, and our reputation in the industry and in the investment community would likely be significantly damaged, each of which would cause our stock price to significantly decrease.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Delays in clinical testing could increase our costs and delay our ability to obtain regulatory approval and commercialize our Product Candidates.</w:t>
      </w:r>
    </w:p>
    <w:p>
      <w:pPr>
        <w:spacing w:after="0" w:line="248"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Before we can receive regulatory approval for the commercial sale of our Product Candidates, the FDA and comparable authorities in non-U.S. jurisdictions require extensive preclinical safety testing and clinical trials to demonstrate their safety and efficacy. Significant delays in preclinical and clinical testing could materially impact our product development costs and delay regulatory approval of our Product Candidates. Our ability to complete clinical trials in a timely manner could be impacted by, among other factors:</w:t>
      </w:r>
    </w:p>
    <w:p>
      <w:pPr>
        <w:spacing w:after="0" w:line="187" w:lineRule="exact"/>
        <w:rPr>
          <w:sz w:val="20"/>
          <w:szCs w:val="20"/>
          <w:color w:val="auto"/>
        </w:rPr>
      </w:pPr>
    </w:p>
    <w:p>
      <w:pPr>
        <w:ind w:left="1020" w:hanging="432"/>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 or failure in reaching agreement with the FDA or comparable foreign regulatory authority on a trial design that we are able to execute;</w:t>
      </w:r>
    </w:p>
    <w:p>
      <w:pPr>
        <w:spacing w:after="0" w:line="248" w:lineRule="exact"/>
        <w:rPr>
          <w:rFonts w:ascii="Arial" w:cs="Arial" w:eastAsia="Arial" w:hAnsi="Arial"/>
          <w:sz w:val="16"/>
          <w:szCs w:val="16"/>
          <w:color w:val="auto"/>
        </w:rPr>
      </w:pPr>
    </w:p>
    <w:p>
      <w:pPr>
        <w:ind w:left="1020" w:right="48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trial or inability to comply with conditions imposed by a regulatory authority regarding the scope or design of a clinical study;</w:t>
      </w:r>
    </w:p>
    <w:p>
      <w:pPr>
        <w:spacing w:after="0" w:line="170"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020" w:right="34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obtaining IRB approval or the approval of other reviewing entities, including comparable foreign entities, to conduct a clinical trial at each site;</w:t>
      </w:r>
    </w:p>
    <w:p>
      <w:pPr>
        <w:spacing w:after="0" w:line="170"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obtaining clinical materials;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trial;</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of subjects completing a trial or returning for post-treatment follow-up;</w:t>
      </w:r>
    </w:p>
    <w:p>
      <w:pPr>
        <w:spacing w:after="0" w:line="225" w:lineRule="exact"/>
        <w:rPr>
          <w:rFonts w:ascii="Arial" w:cs="Arial" w:eastAsia="Arial" w:hAnsi="Arial"/>
          <w:sz w:val="18"/>
          <w:szCs w:val="18"/>
          <w:color w:val="auto"/>
        </w:rPr>
      </w:pPr>
    </w:p>
    <w:p>
      <w:pPr>
        <w:ind w:left="1020" w:right="58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and investigators deviating from trial protocol, failing to conduct the trial in accordance with regulatory requirements, or dropping out of a trial;</w:t>
      </w:r>
    </w:p>
    <w:p>
      <w:pPr>
        <w:spacing w:after="0" w:line="170" w:lineRule="exact"/>
        <w:rPr>
          <w:rFonts w:ascii="Arial" w:cs="Arial" w:eastAsia="Arial" w:hAnsi="Arial"/>
          <w:sz w:val="18"/>
          <w:szCs w:val="18"/>
          <w:color w:val="auto"/>
        </w:rPr>
      </w:pPr>
    </w:p>
    <w:p>
      <w:pPr>
        <w:ind w:left="1020" w:right="26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third-party clinical trial managers to satisfy their contractual duties or meet expected deadlines;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adding new clinical trial sites;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ambiguous or negative interim results or results that are inconsistent with earlier results;</w:t>
      </w:r>
    </w:p>
    <w:p>
      <w:pPr>
        <w:spacing w:after="0" w:line="225" w:lineRule="exact"/>
        <w:rPr>
          <w:rFonts w:ascii="Arial" w:cs="Arial" w:eastAsia="Arial" w:hAnsi="Arial"/>
          <w:sz w:val="18"/>
          <w:szCs w:val="18"/>
          <w:color w:val="auto"/>
        </w:rPr>
      </w:pPr>
    </w:p>
    <w:p>
      <w:pPr>
        <w:ind w:left="1020" w:right="3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feedback from the FDA, the IRB, data safety monitoring boards or comparable foreign entities, or results from earlier stage or concurrent preclinical and clinical studies that might require modification to the protocol;</w:t>
      </w:r>
    </w:p>
    <w:p>
      <w:pPr>
        <w:spacing w:after="0" w:line="170" w:lineRule="exact"/>
        <w:rPr>
          <w:rFonts w:ascii="Arial" w:cs="Arial" w:eastAsia="Arial" w:hAnsi="Arial"/>
          <w:sz w:val="18"/>
          <w:szCs w:val="18"/>
          <w:color w:val="auto"/>
        </w:rPr>
      </w:pPr>
    </w:p>
    <w:p>
      <w:pPr>
        <w:ind w:left="1020" w:right="20" w:hanging="432"/>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decisions by the FDA, the IRB, comparable foreign regulatory entities, or recommendations by a data safety monitoring board or comparable foreign regulatory entity to suspend or terminate clinical trials at any time for safety issues or for any other reason;</w:t>
      </w:r>
    </w:p>
    <w:p>
      <w:pPr>
        <w:spacing w:after="0" w:line="146" w:lineRule="exact"/>
        <w:rPr>
          <w:rFonts w:ascii="Arial" w:cs="Arial" w:eastAsia="Arial" w:hAnsi="Arial"/>
          <w:sz w:val="17"/>
          <w:szCs w:val="17"/>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unacceptable risk-benefit profiles or unforeseen safety issues or adverse side effects;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demonstrate a benefit from using a drug;</w:t>
      </w:r>
    </w:p>
    <w:p>
      <w:pPr>
        <w:spacing w:after="0" w:line="225"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issues, including problems with manufacturing or obtaining from third parties sufficient quantities of a Product Candidate for use in clinical trials; and</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 or lack of adequate funding to continue the clinical trial.</w:t>
      </w:r>
    </w:p>
    <w:p>
      <w:pPr>
        <w:spacing w:after="0" w:line="22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the ability to obtain and maintain patient consents, whether enrolled subjects drop out before completion, competing clinical trials and clinicians’ and patients’ perceptions as to the potential advantages of the drug being studied in relation to other available therapies, including any new drugs that may be approved for the indications we investigate. Furthermore, we rely on CROs and clinical trial sites to ensure the proper and timely conduct of our clinical trials and while we have agreements governing their activities, we have limited influence over CROs’ actual performance.</w:t>
      </w:r>
    </w:p>
    <w:p>
      <w:pPr>
        <w:spacing w:after="0" w:line="178"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Our failure to successfully establish, recruit for, and oversee our clinical trials could delay our product development efforts and negatively impact our business. If we experience delays in the completion of any ongoing study, the commercial prospects of our Product Candidates or any of our other future product candidates could be harmed, and our ability to generate product revenue will be delayed. Any delays in completing our clinical trials will increase our costs, slow our Product Candidates’ development and approval process and jeopardize our ability to commence product sales and generate revenues. Any of these occurrences may harm our business, financial condition and prospects significantly.</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not obtain regulatory approval for our Product Candidates in development. Regulatory approval may also be delayed or revoked or may impose limitations on the indicated uses of a Product Candidate. If we are unable to obtain regulatory approval for our Product Candidates in development, our business will be substantially harmed.</w:t>
      </w:r>
    </w:p>
    <w:p>
      <w:pPr>
        <w:spacing w:after="0" w:line="184"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process for obtaining regulatory approval of a new drug is time-consuming, is subject to unanticipated delays and costs and requires the commitment of substantial resources. Any product that we or our potential future collaborative partners develop must receive all necessary regulatory agency approvals or clearances before it may be marketed in the U.S. or other countries. Human pharmaceutical products are subject to rigorous preclinical and clinical testing and other requirements by the FDA in the U.S. and similar health authorities in foreign countries. We may not receive necessary regulatory approvals or clearances to market our Product Candidates currently in development in the U.S. or in other jurisdictions, as a result of changes in regulatory policies prior to approval or other events. Additionally, data obtained from preclinical and clinical activities, or from stability or bioequivalence studies, are susceptible to varying interpretations that could delay, limit or prevent regulatory agency approvals or clearances.</w:t>
      </w:r>
    </w:p>
    <w:p>
      <w:pPr>
        <w:spacing w:after="0" w:line="166"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70" w:lineRule="exact"/>
        <w:rPr>
          <w:sz w:val="20"/>
          <w:szCs w:val="20"/>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that the Product Candidate is safe and effective for its proposed indication;</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clinical trial results to meet the level of statistical significance required for approval;</w:t>
      </w:r>
    </w:p>
    <w:p>
      <w:pPr>
        <w:spacing w:after="0" w:line="225"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third parties to manage and conduct the trials or perform necessary oversight to meet expected deadlines or to comply with regulatory requirements;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that the Product Candidate’s clinical and other benefits outweigh its safety risks;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9" w:name="page50"/>
    <w:bookmarkEnd w:id="49"/>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25" w:lineRule="exact"/>
        <w:rPr>
          <w:rFonts w:ascii="Arial" w:cs="Arial" w:eastAsia="Arial" w:hAnsi="Arial"/>
          <w:sz w:val="18"/>
          <w:szCs w:val="18"/>
          <w:color w:val="auto"/>
        </w:rPr>
      </w:pPr>
    </w:p>
    <w:p>
      <w:pPr>
        <w:ind w:left="1020" w:right="540" w:hanging="43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an NDA or other submission or to obtain regulatory approval;</w:t>
      </w:r>
    </w:p>
    <w:p>
      <w:pPr>
        <w:spacing w:after="0" w:line="170" w:lineRule="exact"/>
        <w:rPr>
          <w:rFonts w:ascii="Arial" w:cs="Arial" w:eastAsia="Arial" w:hAnsi="Arial"/>
          <w:sz w:val="18"/>
          <w:szCs w:val="18"/>
          <w:color w:val="auto"/>
        </w:rPr>
      </w:pPr>
    </w:p>
    <w:p>
      <w:pPr>
        <w:ind w:left="1020" w:right="320" w:hanging="43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third-party manufacturers with whom we contract for clinical and commercial supplies; and</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approval policies or regulations that render our preclinical and clinical data insufficient for approval.</w:t>
      </w:r>
    </w:p>
    <w:p>
      <w:pPr>
        <w:spacing w:after="0" w:line="22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 xml:space="preserve">The FDA or a comparable non-U.S. regulatory authority may require additional preclinical or clinical data to support approval, such as confirmatory studies and other data or studies to address questions or concerns that may arise during the FDA review process. Regulatory approval may also be delayed, limited or prevented by other factors. For example, a CRL was received from the FDA regarding the NDA for HTX-011 on June 26, 2020. The CRL stated that the FDA was unable to approve the NDA in its present form based on the need for additional non-clinical information. Based on the complete review of the NDA, the FDA did not identify any clinical safety or efficacy issues or CMC issues. </w:t>
      </w:r>
      <w:r>
        <w:rPr>
          <w:rFonts w:ascii="Arial" w:cs="Arial" w:eastAsia="Arial" w:hAnsi="Arial"/>
          <w:sz w:val="16"/>
          <w:szCs w:val="16"/>
          <w:color w:val="1E1E1E"/>
        </w:rPr>
        <w:t>There are four non-clinical issues in the CRL,</w:t>
      </w:r>
      <w:r>
        <w:rPr>
          <w:rFonts w:ascii="Arial" w:cs="Arial" w:eastAsia="Arial" w:hAnsi="Arial"/>
          <w:sz w:val="16"/>
          <w:szCs w:val="16"/>
          <w:color w:val="auto"/>
        </w:rPr>
        <w:t xml:space="preserve"> </w:t>
      </w:r>
      <w:r>
        <w:rPr>
          <w:rFonts w:ascii="Arial" w:cs="Arial" w:eastAsia="Arial" w:hAnsi="Arial"/>
          <w:sz w:val="16"/>
          <w:szCs w:val="16"/>
          <w:color w:val="1E1E1E"/>
        </w:rPr>
        <w:t xml:space="preserve">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000000"/>
        </w:rPr>
        <w:t>Even if we</w:t>
      </w:r>
      <w:r>
        <w:rPr>
          <w:rFonts w:ascii="Arial" w:cs="Arial" w:eastAsia="Arial" w:hAnsi="Arial"/>
          <w:sz w:val="16"/>
          <w:szCs w:val="16"/>
          <w:color w:val="1E1E1E"/>
        </w:rPr>
        <w:t xml:space="preserve"> </w:t>
      </w:r>
      <w:r>
        <w:rPr>
          <w:rFonts w:ascii="Arial" w:cs="Arial" w:eastAsia="Arial" w:hAnsi="Arial"/>
          <w:sz w:val="16"/>
          <w:szCs w:val="16"/>
          <w:color w:val="000000"/>
        </w:rPr>
        <w:t>are successful in resolving some or all of the matters raised by the FDA in the CRL, there is significant risk that we will be unable to obtain FDA approval for HTX-011 on a timely basis or at all. Additionally, in 2013, 2018 and 2019, the U.S. federal government entered shutdowns suspending services deemed non-essential as a result of the failure by Congress to enact regular appropriations. Our development and commercialization activities could be harmed or delayed by a similar shutdown of the U.S. federal government in the future, which may significantly delay the FDA’s ability to timely review and process any submissions we have filed or may file or cause other regulatory delays, which could have a material adverse effect on our business.</w:t>
      </w:r>
    </w:p>
    <w:p>
      <w:pPr>
        <w:spacing w:after="0" w:line="168"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Even if granted, regulatory approvals may include significant limitations on the uses for which products may be marketed. Failure to comply with applicable regulatory requirements can, among other things, result in warning letters, imposition of civil penalties or other monetary payments, delay in approving or refusal to approve a product candidate, suspension or withdrawal of regulatory approval, product recall or seizure, operating restrictions, interruption of clinical trials or manufacturing, injunctions and criminal prosecution.</w:t>
      </w:r>
    </w:p>
    <w:p>
      <w:pPr>
        <w:spacing w:after="0" w:line="187"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In addition, the marketing and manufacturing of products are subject to continuing FDA review, and later discovery of previously unknown problems with a product, its manufacture or its marketing may result in the FDA requiring further clinical research or restrictions on the product or the manufacturer, including withdrawal of the product from the market.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0" w:name="page51"/>
    <w:bookmarkEnd w:id="50"/>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international jurisdictions would prevent our Products, our Product Candidates or any other products we may develop from being marketed abroad.</w:t>
      </w:r>
    </w:p>
    <w:p>
      <w:pPr>
        <w:spacing w:after="0" w:line="170"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the event we pursue the right to market and sell our Products, our Product Candidates or any other products we may develop in jurisdictions other than the U.S., we would be required to obtain separate marketing approvals and comply with numerous and varying regulatory requirements in each foreign country.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it is required that the product be approved for reimbursement before the product can be approved for sale in that country. In the event we choose to pursue them,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If we are unable in the future to obtain approval of a Product Candidate by regulatory authorities in non-U.S. jurisdictions, the commercial prospects of that Product Candidate may be significantly diminished and our business prospects could decline.</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our Product Candidates in development receive regulatory approval, they may still face future development and regulatory difficulties. If we fail to comply with continuing federal, state and foreign regulations, we could lose our approvals to market drugs, and our business would be seriously harmed.</w:t>
      </w:r>
    </w:p>
    <w:p>
      <w:pPr>
        <w:spacing w:after="0" w:line="184"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Even if we obtain regulatory approval for our Product Candidates in development, they remain subject to ongoing requirements of the FDA and comparable foreign regulatory authorities, including requirements related to manufacturing, quality control, further development, labeling, packaging, storage, distribution, safety surveillance, import, export, advertising, promotion, recordkeeping, and reporting of safety and other postmarket information. Following initial regulatory approval for drugs we develop, including our Products and any other products we may develop, we remain subject to continuing regulatory review, including review of adverse drug experiences and clinical results that may be reported after drug products become commercially available. This would include results from any postmarketing tests or continued actions required as a condition of approval. The manufacturer and manufacturing facilities we use to make any of our drug candidates will also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 FDA approval before the product, as modified, can be marketed. We and our contract manufacturers will also be subject to ongoing FDA requirements for submission of safety and other postmarket information. If we and our contract manufacturers fail to comply with applicable regulatory requirements, a regulatory agency may:</w:t>
      </w:r>
    </w:p>
    <w:p>
      <w:pPr>
        <w:spacing w:after="0" w:line="168" w:lineRule="exact"/>
        <w:rPr>
          <w:sz w:val="20"/>
          <w:szCs w:val="20"/>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Additionally, such regulatory review covers a company’s activities in the promotion of its drugs, with significant potential penalties and restrictions for promotion of drugs for an unapproved use or other inappropriate sales and marketing activities. Advertising and promotion of any Product Candidate that obtains approval in the U.S. will be heavily scrutinized by the FDA, the Department of Justice, and the Department of Health and Human Services’ Office of Inspector General. Violations of applicable advertising and promotion laws and regulations, including promotion of products for unapproved (or off-label) uses, are subject to enforcement letters, inquiries and investigations and civil and criminal sanctions by the FDA. We are also required to submit information on our open and completed clinical trials to public registries and databases; failure to comply with these requirements could expose us to negative publicity, fines and penalties that could harm our business. We are also required to comply with the requirements to submit to governmental authorities information on payments to physicians and certain other third parties; failure to comply with these requirements could expose us to negative publicity, fines and penalties that could harm our business.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commercial use of our Products may cause unintended side effects or adverse reactions, or incidents of misuse may occur, which could adversely affect our business.</w:t>
      </w:r>
    </w:p>
    <w:p>
      <w:pPr>
        <w:spacing w:after="0" w:line="170"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We cannot predict whether any commercial use of our Product Candidates, once approved, will produce undesirable or unintended side effects that have not been evident in clinical trials conducted for such Product Candidates to date. Additionally, incidents of Product misuse may occur. These events, including the reporting of adverse safety events, among others, could result in Product recalls, product liability actions related to our Products or withdrawals or additional regulatory controls (including additional regulatory scrutiny and requirements for additional labeling), all of which could have a material adverse effect on our business, financial condition, cash flows and results of operations.</w:t>
      </w:r>
    </w:p>
    <w:p>
      <w:pPr>
        <w:spacing w:after="0" w:line="1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we cannot establish pricing of our Products acceptable to the U.S. or foreign governments, insurance companies, managed care organizations and other payors, or arrange for favorable reimbursement policies, our Product sales will be severely hindered.</w:t>
      </w:r>
    </w:p>
    <w:p>
      <w:pPr>
        <w:spacing w:after="0" w:line="14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continuing efforts of the U.S. and foreign governments, insurance companies, managed care organizations and other payors of health care costs to contain or reduce costs of health care may adversely affect our ability to generate adequate revenues and gross margins to make the Products and Product Candidates we develop commercially viable. Our ability to commercialize any Products or Product Candidates successfully will depend in part on the extent to which governmental authorities, private health insurers and other organizations establish appropriate reimbursement levels for the cost of such Products and Product Candidates and related treatments and for what uses reimbursement will be provided.</w:t>
      </w:r>
    </w:p>
    <w:p>
      <w:pPr>
        <w:spacing w:after="0" w:line="17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the U.S., given recent federal and state government initiatives directed at lowering the total cost of health care, the U.S. Congress and state legislatures will likely continue to focus on health care reform, reducing the cost of prescription pharmaceuticals and reforming the Medicare and Medicaid systems. For example, the PPACA encourages comparative effectiveness research. Any adverse findings for our Products from such research may negatively impact reimbursement available for our Products. Similarly, the SUPPORT Act, which was signed into law on October 24, 2018, encourages the prevention and treatment of opioid addiction and the development of non-opioid pain management treatments. Although it is too early to assess the impact of the SUPPORT Act, it could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line="284" w:lineRule="auto"/>
        <w:rPr>
          <w:sz w:val="20"/>
          <w:szCs w:val="20"/>
          <w:color w:val="auto"/>
        </w:rPr>
      </w:pPr>
      <w:r>
        <w:rPr>
          <w:rFonts w:ascii="Arial" w:cs="Arial" w:eastAsia="Arial" w:hAnsi="Arial"/>
          <w:sz w:val="16"/>
          <w:szCs w:val="16"/>
          <w:color w:val="auto"/>
        </w:rPr>
        <w:t>potentially increase competition for HTX-011 and HTX-034, if approved, and have other negative impacts on our business. In addition to these initiatives, proposals are being discussed that would tie the prices of U.S. pharmaceuticals to the cost of pharmaceuticals in other countries, governmental drug pricing task forces have been formed with the goal of combating the increased costs of prescription pharmaceuticals and several states in the U.S. have introduced legislation to require pharmaceutical companies to disclose their costs to justify the prices of their products. Additionally, on September 13, 2020, an Executive Order was signed furthering these initiatives, creating a “most-favored-nation” policy and directing the U.S. Secretary of Health and Human Services to develop and implement rulemaking and payment plans that would limit the amount paid by Medicare for certain pharmaceutical products to the lowest prices (after certain adjustments) of such products paid in certain other countries. On November 20, 2020, CMS issued the Rule implementing the most-favored-nation policy to cap the price Medicare can pay for a drug to the lowest price paid in an economically comparable country within the Organization for Economic Cooperation and Development. The Rule was slated to take effect on January 1, 2021, but federal courts have temporarily enjoined implementation of the Rule, and CMS has indicated that a most-favored-nation policy will not be implemented without a rulemaking proceeding. It is unclear whether or how the Biden administration will move forward with the Rule. But if the new administration implements the Rule in its current form and the Rule survives judicial scrutiny, it would subject certain physician-administered drugs and biologicals identified by CMS as having the highest annual Medicare Part B spending to an alternative payment methodology based on international reference prices. As evidenced by proposals and initiatives such as these, low prices of our Products and Product Candidates in foreign jurisdictions may have a negative impact on the prices of our Products and Product Candidates in the U.S. For example, if legislation is passed or regulations are adopted that tie the prices of U.S. pharmaceuticals to the cost of pharmaceuticals in other countries and if ZYNRELEF is subject to pricing regulations in the EU or in other countries in which it is approved that keep its price low in those jurisdictions, then this could lower the potential price of the product in the U.S., thereby limiting the revenue we would be able to generate from it. Additionally, on September 24, 2020, the FDA published the Importation Rule. Although it is too early to assess the impact of the Importation Rule, it could potentially reduce U.S. revenues for any of our Products or Product Candidates that are also approved in Canada and potentially have other negative impacts on our business. Economic pressure on state budgets may result in states increasingly seeking to achieve budget savings through mechanisms that limit coverage or payment for drugs. State Medicaid programs are increasingly asking manufacturers to pay supplemental rebates and requiring prior authorization by the state program for use of any drug for which supplemental rebates are not being paid. Further, the trend toward managed health care in the U.S., which could significantly influence the purchase of health care services and products, may result in lower prices for our Products and our Product Candidates, once approved for marketing. While we cannot predict whether any legislative or regulatory proposals affecting our business will be adopted, the announcement or adoption of these proposals could have a material and adverse effect on our potential revenues and gross margins.</w:t>
      </w:r>
    </w:p>
    <w:p>
      <w:pPr>
        <w:spacing w:after="0" w:line="3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pharmaceutical industry is subject to significant regulation and oversight pursuant to anti-kickback laws, false claims statutes and anti-corruption laws, which may result in significant additional expense and limit our ability to commercialize our Products and our Product Candidates. In addition, any failure to comply with these regulations could result in substantial fines or penalties.</w:t>
      </w:r>
    </w:p>
    <w:p>
      <w:pPr>
        <w:spacing w:after="0" w:line="165"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We are subject to health care fraud and abuse regulations that are enforced by the federal government and the states in which we conduct our business, as well as foreign jurisdictions in which we may conduct business. Healthcare providers, physicians and third-party payors play a primary role in the recommendation and prescription of any drug product with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and Product Candidates with marketing approval. Restrictions under applicable federal, state and foreign healthcare laws and regulations include, but are not limited to, the following:</w:t>
      </w:r>
    </w:p>
    <w:p>
      <w:pPr>
        <w:spacing w:after="0" w:line="178" w:lineRule="exact"/>
        <w:rPr>
          <w:sz w:val="20"/>
          <w:szCs w:val="20"/>
          <w:color w:val="auto"/>
        </w:rPr>
      </w:pPr>
    </w:p>
    <w:p>
      <w:pPr>
        <w:ind w:left="1020" w:right="20" w:hanging="432"/>
        <w:spacing w:after="0" w:line="25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care programs’ Anti-Kickback Law, which prohibits, among other things, persons from knowingly and willfully soliciting, receiving, offering or paying remuneration, directly or indirectly, in exchange for or to induce either the referral of an individual for, or the purchase, lease, order or recommendation of, any good or service for which payment may be made under federal health care programs such as the Medicare and Medicaid programs;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ind w:left="1020" w:hanging="432"/>
        <w:spacing w:after="0" w:line="25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health care programs that are false or fraudulent. This false claims liability may attach in the event that a company is found to have knowingly submitted false average sales price, best price or other pricing data to the government or to have unlawfully promoted its drug products;</w:t>
      </w:r>
    </w:p>
    <w:p>
      <w:pPr>
        <w:spacing w:after="0" w:line="186" w:lineRule="exact"/>
        <w:rPr>
          <w:rFonts w:ascii="Arial" w:cs="Arial" w:eastAsia="Arial" w:hAnsi="Arial"/>
          <w:sz w:val="18"/>
          <w:szCs w:val="18"/>
          <w:color w:val="auto"/>
        </w:rPr>
      </w:pPr>
    </w:p>
    <w:p>
      <w:pPr>
        <w:ind w:left="1020" w:right="460" w:hanging="432"/>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“sunshine” laws, now known as Open Payments, that require transparency regarding financial arrangements with health care providers, such as the reporting and disclosure requirements imposed by the PPACA on drug manufacturers regarding any “payment or transfer of value” made or distributed to physicians and teaching hospitals; and</w:t>
      </w:r>
    </w:p>
    <w:p>
      <w:pPr>
        <w:spacing w:after="0" w:line="183" w:lineRule="exact"/>
        <w:rPr>
          <w:rFonts w:ascii="Arial" w:cs="Arial" w:eastAsia="Arial" w:hAnsi="Arial"/>
          <w:sz w:val="18"/>
          <w:szCs w:val="18"/>
          <w:color w:val="auto"/>
        </w:rPr>
      </w:pPr>
    </w:p>
    <w:p>
      <w:pPr>
        <w:ind w:left="1020" w:right="300" w:hanging="43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020" w:right="360" w:hanging="43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including those of the EU, that may differ substantially from country to country and may conflict with corresponding U.S. laws and regulations.</w:t>
      </w:r>
    </w:p>
    <w:p>
      <w:pPr>
        <w:spacing w:after="0" w:line="170"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Moreover, recent health care reform legislation has strengthened many of these laws. For example, the PPACA, among other things, amends the intent requirement of the federal anti-kickback and criminal health care fraud statutes to clarify that a person or entity does not need to have actual knowledge of this statute or specific intent to violate it. In addition, PPACA provides that a claim including items or services resulting from a violation of the federal anti-kickback statute constitutes a false or fraudulent claim for purposes of the false claims statutes. Finally, some states, such as California, Massachusetts and Vermont, mandate implementation of commercial compliance programs to ensure compliance with these laws.</w:t>
      </w:r>
    </w:p>
    <w:p>
      <w:pPr>
        <w:spacing w:after="0" w:line="177"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In addition, a number of states have laws that require pharmaceutical companies to track and report payments, gifts and other benefits provided to physicians and other health care professionals and entities. Similarly, the federal Physician Payments Sunshine Act within PPACA requires pharmaceutical companies to report to the federal government certain payments to physicians and teaching hospitals. The Physician Payments Sunshine Act provisions require manufacturers that participate in federal health care programs to begin collecting such information after a 6-month period following commercial launch of a drug product; however, state law equivalents may require compliance beginning at commercial launch.</w:t>
      </w:r>
    </w:p>
    <w:p>
      <w:pPr>
        <w:spacing w:after="0" w:line="161" w:lineRule="exact"/>
        <w:rPr>
          <w:sz w:val="20"/>
          <w:szCs w:val="20"/>
          <w:color w:val="auto"/>
        </w:rPr>
      </w:pPr>
    </w:p>
    <w:p>
      <w:pPr>
        <w:ind w:right="140" w:firstLine="589"/>
        <w:spacing w:after="0" w:line="287" w:lineRule="auto"/>
        <w:rPr>
          <w:sz w:val="20"/>
          <w:szCs w:val="20"/>
          <w:color w:val="auto"/>
        </w:rPr>
      </w:pPr>
      <w:r>
        <w:rPr>
          <w:rFonts w:ascii="Arial" w:cs="Arial" w:eastAsia="Arial" w:hAnsi="Arial"/>
          <w:sz w:val="16"/>
          <w:szCs w:val="16"/>
          <w:color w:val="auto"/>
        </w:rPr>
        <w:t>In addition, we are subject to the FCPA. In September 2020, ZYNRELEF was granted marketing authorization by the EC, our first such foreign regulatory approval. We are currently assessing the evolving global environment for pharmaceuticals and developing a coordinated global marketing strategy. At this time, we anticipate making ZYNRELEF available to patients in Europe during 2022 as we build large-scale manufacturing capacity to meet the anticipated commercial demand in the U.S. and the rest of the world. The FCPA and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U.S. regulators, with more frequent and aggressive investigations and enforcement proceedings by both the Department of Justice and the SEC. A determination that our operations or activities are not, or were not, in compliance with U.S.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right="40" w:firstLine="589"/>
        <w:spacing w:after="0" w:line="290" w:lineRule="auto"/>
        <w:rPr>
          <w:sz w:val="20"/>
          <w:szCs w:val="20"/>
          <w:color w:val="auto"/>
        </w:rPr>
      </w:pPr>
      <w:r>
        <w:rPr>
          <w:rFonts w:ascii="Arial" w:cs="Arial" w:eastAsia="Arial" w:hAnsi="Arial"/>
          <w:sz w:val="16"/>
          <w:szCs w:val="16"/>
          <w:color w:val="auto"/>
        </w:rPr>
        <w:t>Changes in laws affecting the healthcare industry could also adversely affect our revenues and profitability, including new laws, regulations or judicial decisions, or new interpretations of existing laws, regulations or decisions related to patent protection and enforcement, healthcare availability, and drug product pricing and marketing. Changes in FDA regulations and regulations issued by other regulatory agencies inside and outside of the U.S., including new or different approval requirements, timelines and processes, may also delay or prevent the approval of our Product Candidates, require additional safety monitoring, labeling changes, restrictions on product distribution or other measures that could increase our costs of doing business and adversely affect the market for our Products and our Product Candidates. The enactment in the U.S. of healthcare reform,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5"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significant civil, criminal and administrative penalties, damages, fines, exclusion from government-funded healthcare programs, like Medicare and Medicaid,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divert our management’s attention from the operation of our business. Moreover, achieving and sustaining compliance with applicable federal, state and foreign privacy, security and fraud laws may prove costly.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incur significant liability if it is determined that we are promoting the “off-label” use of drugs or promoting in a non-truthful and misleading way.</w:t>
      </w:r>
    </w:p>
    <w:p>
      <w:pPr>
        <w:spacing w:after="0" w:line="170"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are prohibited from promoting our Products, our Products Candidates or any other products we may develop for “off-label” uses or promoting in a non-truthful and misleading way that are not described in its labeling and that differ from the uses approved by the FDA. Physicians may prescribe drug products for off-label uses, and such off-label uses are common across medical specialties. The FDA and other regulatory agencies do not regulate a physician’s choice of treatments. However, they do restrict pharmaceutical companies and their sales representatives’ dissemination of information concerning off-label use. The FDA and other regulatory agencies actively enforce regulations prohibiting promotion of products for off-label uses and the promotion of products for which marketing authorization has not been obtained. A company that is found to have promoted products for off-label uses may be subject to significant liability, including civil and administrative remedies as well as criminal sanctions. Notwithstanding the regulatory restrictions on off-label promotion, the FDA and other regulatory authorities allow companies to engage in truthful, non-misleading, and non-promotional scientific exchanges concerning their products.</w:t>
      </w:r>
    </w:p>
    <w:p>
      <w:pPr>
        <w:spacing w:after="0" w:line="181"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The FDA or other regulatory authorities may conclude that we have violated applicable laws, rules or regulations, and we may therefore be subject to significant liability, including civil and administrative remedies, as well as criminal sanctions. Such enforcement actions could cause us reputational harm and divert the attention of our management from our business operations. Likewise, our distribution and contracting partners and those providing vendor support services may also be the subject of regulatory investigations involving, or remedies or sanctions for, off-label promotion of our Products, our Product Candidates or any other products we may develop, which may adversely impact sales of our Products, our Product Candidates or any other products we may develop or trigger indemnification obligations. These consequences, could, in turn, have a material adverse effect on our business, financial condition and results of operations and could cause the market value of our common shares to decline.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5" w:name="page56"/>
    <w:bookmarkEnd w:id="55"/>
    <w:p>
      <w:pPr>
        <w:ind w:right="200"/>
        <w:spacing w:after="0" w:line="277" w:lineRule="auto"/>
        <w:rPr>
          <w:sz w:val="20"/>
          <w:szCs w:val="20"/>
          <w:color w:val="auto"/>
        </w:rPr>
      </w:pPr>
      <w:r>
        <w:rPr>
          <w:rFonts w:ascii="Arial" w:cs="Arial" w:eastAsia="Arial" w:hAnsi="Arial"/>
          <w:sz w:val="18"/>
          <w:szCs w:val="18"/>
          <w:b w:val="1"/>
          <w:bCs w:val="1"/>
          <w:i w:val="1"/>
          <w:iCs w:val="1"/>
          <w:color w:val="auto"/>
        </w:rPr>
        <w:t>Health care reform could increase our expenses and adversely affect the commercial success of our Products, our Product Candidates and any other product candidates we may develop.</w:t>
      </w:r>
    </w:p>
    <w:p>
      <w:pPr>
        <w:spacing w:after="0" w:line="170"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The PPACA includes numerous provisions that affect pharmaceutical companies. For example, the PPACA seeks to expand healthcare coverage to the uninsured through private health insurance reforms and an expansion of Medicaid. The PPACA also imposes substantial costs on pharmaceutical manufacturers, such as an increase in liability for rebates paid to Medicaid, new drug discounts that must be offered to certain enrollees in the Medicare prescription drug benefit and an annual fee imposed on all manufacturers of brand prescription drugs in the U.S. The PPACA also requires increased disclosure obligations—including those required under the “sunshine” laws—and an expansion of an existing program requiring pharmaceutical discounts to certain types of hospitals and federally subsidized clinics and contains cost-containment measures that could reduce reimbursement levels for pharmaceutical products. These and other aspects of the PPACA, including the regulations that may be imposed in connection with the implementation of the PPACA, could increase our expenses and adversely affect our ability to successfully commercialize our Products, our Product Candidates and any other product candidates we may develop.</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certain data privacy and security requirements, which are very complex and difficult to comply with at times. Any failure to ensure adherence to these requirements could subject us to fines, penalties and damage our reputation.</w:t>
      </w:r>
    </w:p>
    <w:p>
      <w:pPr>
        <w:spacing w:after="0" w:line="170"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We are required to comply, as applicable, with numerous federal and state laws, including state security breach notification laws, state health information privacy laws and federal and state consumer protection laws, which govern the collection, use and disclosure of personal information.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protected health information under HIPAA,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General Data Protection Regulation in the EU that became effective in May 2018 and the Personal Information Protection and Electronic Documents Act that became effective in Canada in April 2000. These laws and similar laws adopted in the future could increase our potential liability, increase our compliance costs and adversely affect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right="40"/>
        <w:spacing w:after="0" w:line="254" w:lineRule="auto"/>
        <w:rPr>
          <w:sz w:val="20"/>
          <w:szCs w:val="20"/>
          <w:color w:val="auto"/>
        </w:rPr>
      </w:pPr>
      <w:r>
        <w:rPr>
          <w:rFonts w:ascii="Arial" w:cs="Arial" w:eastAsia="Arial" w:hAnsi="Arial"/>
          <w:sz w:val="18"/>
          <w:szCs w:val="18"/>
          <w:color w:val="auto"/>
        </w:rPr>
        <w:t>In addition, most healthcare providers who may prescribe Products we sell and from whom we may obtain patient health information are subject to privacy and security requirements under HIPAA. We are not a HIPAA covered entity, do not intend to become one, and we do not operate as a business associate to any covered entities. Therefore, these privacy and security requirements do not apply to us. However, we could be subject to criminal penalties if we knowingly obtain individually identifiable health information from a covered entity in a manner that is not authorized or permitted by HIPAA or for aiding and abetting the violation of HIPAA. We are unable to predict whether our actions could be subject to prosecution in the event of an impermissible disclosure of health information to us. These laws could create liability for us or increase our cost of doing business, and any failure to comply could result in harm to our reputation and potentially fines and penalties.</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firstLine="540"/>
        <w:spacing w:after="0" w:line="285"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third-party providers possess certain of our sensitive data. The secure maintenance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financial losses and legal claims or proceedings and liability under laws that protect the privacy of personal information, disrupt our operations and damage our reputation, which could adversely affect our business. Although we are insured against such risks up to an annual aggregate limit, our cyber liability insurance may be inadequate and may not fully cover the costs of any claim or any ultimate damages we might be required to pay. Any successful cyber liability claim may prevent us from obtaining adequate cyber liability insurance in the future on commercially desirable or reasonable terms. In addition, cyber liability coverage may cease to be available in sufficient amounts or at an acceptable cost. An inability to obtain sufficient cyber coverage at an acceptable cost or otherwise to protect against potential cyber liability claims could prevent or inhibit the development or commercialization of our Products, our Product Candidates, or any other product candidates we may develop. A cyber liability claim could also significantly harm our reputation and delay market acceptance of our Products, our Product Candidates, or any other product candidates we may develop.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hazardous materials could subject us to liabilities, fines and sanctions.</w:t>
      </w:r>
    </w:p>
    <w:p>
      <w:pPr>
        <w:spacing w:after="0" w:line="225"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Our laboratory and clinical testing sometimes involve use of hazardous, radioactive or otherwise toxic materials. We are subject to federal, state and local laws and regulations governing how we use, manufacture, handle, store and dispose of these materials.</w:t>
      </w:r>
    </w:p>
    <w:p>
      <w:pPr>
        <w:spacing w:after="0" w:line="170"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Although we believe that our safety procedures for handling and disposing of such materials comply in all material respects with all federal, state and local regulations and standards, there is always the risk of accidental contamination or injury from these materials. In the event of an accident, we could be held liable for any damages that result, and we could also be subject to fines and penalties and such liability and costs could exceed our financial resources. If we fail to comply with these regulations and standards or with the conditions attached to our operating licenses, the licenses could be revoked, and we could be subjected to criminal sanctions and substantial financial liability or be required to suspend or modify our operations. Compliance with environmental and other laws may be expensive and current or future regulations may impair our product development efforts.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or enforce our intellectual property rights, we may lose valuable assets or incur costly litigation to protect our rights.</w:t>
      </w:r>
    </w:p>
    <w:p>
      <w:pPr>
        <w:spacing w:after="0" w:line="170"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Our success will depend in part on our ability to obtain patents and maintain trade secret protection, as well as successfully defending these patents against challenges, while operating without infringing the proprietary rights of others. We have filed a number of U.S. patent applications on inventions relating to the composition of a variety of polymers, specific products, product groups and processing technology. As of December 31, 2020, we had a total of 31 issued U.S. patents and an additional 81 issued (or registered) foreign patents. The patents on the bioerodible technologies expire between May 2021 and March 2026. Currently, CINVANTI is covered by 7 patents issued in the U.S. with expiration dates of September 2035 and by one patent issued in Japan. Currently, SUSTOL is covered by 8 patents issued in the U.S. and by 35 patents issued in foreign countries including Austria, Belgium, Canada, Denmark, Finland, France, Germany, Greece, Hong Kong, Ireland, Italy, Japan, Luxembourg, Netherlands, Portugal, Spain, Sweden, Switzerland, Taiwan, and the United Kingdom. U.S. patents covering SUSTOL have expiration dates ranging from May 2021 to September 2024; foreign patents covering SUSTOL have expiration dates ranging from May 2021 to September 2025. HTX-011 (ZYNRELEF in Europe) is protected by 11 patents issued in the U.S. and by 61 patents issued in foreign countries including Albania, Australia, Austria, Belgium, Bulgaria, Canada, Croatia, Cyprus, Czech Republic, Denmark, Estonia, Finland, France, Germany, Greece, Hungary, Iceland, Ireland, Italy, Japan, Latvia, Lithuania, Luxembourg, Macedonia, Malta, Mexico, Monaco, Netherlands, Norway, Poland, Portugal, Romania, Serbia, Slovakia, Slovenia, Spain, Sweden, Switzerland, Taiwan, Turkey and the United Kingdom. U.S. patents covering HTX-011 have expiration dates ranging from May 2021 to April 2035; foreign patents covering HTX-011 (ZYNRELEF in Europe) have expiration dates ranging from May 2021 to April 2035. HTX-019 is covered by 7 patents issued in the U.S. with expiration dates of September 2035 and by one patent issued in Japan. HTX-034 is protected by 8 patents issued in the U.S. and by 43 patents issued in foreign countries including Albania, Australia, Austria, Belgium, Bulgaria, Canada, Croatia, Cyprus, Czech Republic, Denmark, Estonia, Finland, France, Germany, Greece, Hungary, Iceland, Ireland, Italy, Japan, Latvia, Lithuania, Luxembourg, Macedonia, Malta, Mexico, Monaco, Netherlands, Norway, Poland, Portugal, Romania, Serbia, Slovakia, Slovenia, Spain, Sweden, Switzerland, Taiwan, Turkey and the United Kingdom. U.S. patents covering HTX-034 have expiration dates ranging from March 2034 to April 2035; foreign patents covering HTX-034 have expiration dates ranging from March 2034 to April 2035. Our policy is to actively seek patent protection in the U.S. and to pursue equivalent patent claims in selected foreign countries, thereby seeking patent coverage for novel technologies and compositions of matter that may be commercially important to the development of our business. Granted patents include claims covering the product composition, methods of use and methods of preparation. Our existing patents may not cover future products, additional patents may not be issued and current patents, or patents issued in the future, may not provide meaningful protection or prove to be of commercial benefit.</w:t>
      </w:r>
    </w:p>
    <w:p>
      <w:pPr>
        <w:spacing w:after="0" w:line="181"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The patent positions of pharmaceutical companies, including ours, are uncertain and involve complex legal and factual questions. In addition, the coverage claimed in a patent application can be significantly reduced before the patent is issued. Consequently, our patent applications may not issue into patents, and any issued patents may not provide sufficient protection for our Product Candidates or provide sufficient protection to afford us a commercial advantage against competitive technologies or may be held invalid if challenged or circumvented. Patent applications in the U.S. are maintained in confidence for at least 18 months after their filing. Consequently, we cannot be certain that the patent applications we are pursuing will lead to the issuance of any patent or be free from infringement or other claims from other parties. Our competitors may also independently develop products similar to ours or design around or otherwise circumvent patents issued to us or licensed by us. In addition, the laws of some foreign countries may not protect our proprietary rights to the same extent as U.S. laws.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firstLine="589"/>
        <w:spacing w:after="0" w:line="273" w:lineRule="auto"/>
        <w:rPr>
          <w:sz w:val="20"/>
          <w:szCs w:val="20"/>
          <w:color w:val="auto"/>
        </w:rPr>
      </w:pPr>
      <w:r>
        <w:rPr>
          <w:rFonts w:ascii="Arial" w:cs="Arial" w:eastAsia="Arial" w:hAnsi="Arial"/>
          <w:sz w:val="17"/>
          <w:szCs w:val="17"/>
          <w:color w:val="auto"/>
        </w:rPr>
        <w:t>We may enter into collaborative agreements that may subject us to obligations that must be fulfilled and require us to manage complex relationships with third parties. In the future, if we are unable to meet our obligations or manage our relationships with our collaborators under these agreements our revenue may decrease. The loss or diminution of our intellectual property rights could result in a decision by our third-party collaborators to terminate their agreements with us. In addition, these agreements are generally complex and contain provisions that could give rise to legal disputes, including potential disputes concerning ownership of intellectual property and data under collaborations. Such disputes can lead to lengthy, expensive litigation or arbitration, requiring us to divert management time and resources to such dispute.</w:t>
      </w:r>
    </w:p>
    <w:p>
      <w:pPr>
        <w:spacing w:after="0" w:line="178"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Because the patent positions of pharmaceutical and biotechnology companies involve complex legal and factual questions, enforceability of patents cannot be predicted with certainty. The ultimate degree of patent protection that will be afforded to products and processes, including ours, in the U.S., remains uncertain and is dependent on the scope of protection decided on by the patent offices, courts and lawmakers in these countries. The America Invents Act, which was enacted in 2011 and reformed certain patent laws in the U.S., may create additional uncertainty. Patents, if issued, may be challenged, invalidated or circumvented. As more products are commercialized using our proprietary product platforms, or as any product achieves greater commercial success, our patents become more likely to be subject to challenge by potential competitors.</w:t>
      </w:r>
    </w:p>
    <w:p>
      <w:pPr>
        <w:spacing w:after="0" w:line="178"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auto"/>
        </w:rPr>
        <w:t>We also rely on trade secrets, technical know-how and continuing technological innovation to develop and maintain our competitive position. We require our employees, consultants, advisors and collaborators to execute appropriate confidentiality and assignment-of-inventions agreements with us. These agreements typically provide that all materials and confidential information developed or made known to the individual during the course of the individual’s relationship with us is to be kept confidential and not disclosed to third parties except in specific circumstances, and that all inventions arising out of the individual’s relationship with us shall be our exclusive property. These agreements may be breached, and in some instances, we may not have an appropriate remedy available for breach of the agreements. Furthermore, our competitors may independently develop substantially equivalent proprietary information and techniques, reverse engineer our information and techniques, or otherwise gain access to our proprietary technology. We may be unable to meaningfully protect our rights in trade secrets, technical know-how and other non-patented technology. We may have to resort to litigation to protect our intellectual property rights, or to determine their scope, validity or enforceability. In addition, interference proceedings declared by the U.S. Patent and Trademark Office may be necessary to determine the priority of inventions with respect to our patent applications. Enforcing or defending our proprietary rights is expensive, could cause diversion of our resources and may not prove successful. In addition, courts outside the U.S. may be less willing to protect trade secrets. Costly and time-consuming litigation could be necessary to seek to enforce and determine the scope of our proprietary rights. Any failure to enforce or protect our rights could cause us to lose the ability to exclude others from using our technology to develop or sell competing products.</w:t>
      </w:r>
    </w:p>
    <w:p>
      <w:pPr>
        <w:spacing w:after="0" w:line="1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infringe on the intellectual property rights of others, and any litigation could force us to stop developing or selling potential products and could be costly, divert management attention and harm our business.</w:t>
      </w:r>
    </w:p>
    <w:p>
      <w:pPr>
        <w:spacing w:after="0" w:line="170"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must be able to develop products without infringing the proprietary rights of other parties. Because the markets in which we operate involve established competitors with significant patent portfolios, including patents relating to the composition of a variety of polymers, specific products, product groups and processing technology, it could be difficult for us to use our technologies or develop products without infringing the proprietary rights of others. Therefore, there is risk that third parties may make claims of infringement against our Products, our Product Candidates or our technologies. We may not be able to design around the patented technologies or inventions of others, and we may not be able to obtain licenses to use patented technologies on acceptable terms, or at all. If we cannot operate without infringing the proprietary rights of others, we will not be able to develop or commercialize some or all of our Product Candidates, and consequently will not be able to earn product revenue.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firstLine="589"/>
        <w:spacing w:after="0" w:line="269" w:lineRule="auto"/>
        <w:rPr>
          <w:sz w:val="20"/>
          <w:szCs w:val="20"/>
          <w:color w:val="auto"/>
        </w:rPr>
      </w:pPr>
      <w:r>
        <w:rPr>
          <w:rFonts w:ascii="Arial" w:cs="Arial" w:eastAsia="Arial" w:hAnsi="Arial"/>
          <w:sz w:val="17"/>
          <w:szCs w:val="17"/>
          <w:color w:val="auto"/>
        </w:rPr>
        <w:t>There is considerable uncertainty within the pharmaceutical industry about the validity, scope and enforceability of many issued patents in the U.S. and elsewhere in the world. We cannot currently determine the ultimate scope and validity of patents that may be granted to third parties in the future or which patents might be asserted to be infringed by any future manufacture, use or sale of our Products, our Product Candidates, or any other product candidates we may develop. In part as a result of this uncertainty, there has been, and we expect that there may continue to be, significant litigation in the pharmaceutical industry regarding patents and other intellectual property rights. We may have to enforce our intellectual property rights against third parties who infringe our patents and other intellectual property or challenge our patent or trademark applications. For example, in the U.S., putative generics of innovator drug products (including products in which the innovation comprises a new drug delivery method for an existing product, such as the drug delivery market occupied by us) may file Abbreviated New Drug Applications (“ANDA”) and, in doing so, certify that their products either do not infringe the innovator’s patents or that the innovator’s patents are invalid. This often results in litigation between the innovator and the ANDA applicant. This type of litigation is commonly known as “Paragraph IV” litigation in the U.S. These litigations could result in new or additional generic competition to any of our Products, our Product Candidates, or any other product candidates we may develop that may be marketed in the future and a potential reduction in product revenue.</w:t>
      </w:r>
    </w:p>
    <w:p>
      <w:pPr>
        <w:spacing w:after="0" w:line="179"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If we are required to defend ourselves in a patent-infringement lawsuit, we could incur substantial costs, and the lawsuit could divert management attention, regardless of the lawsuit’s merit or outcome. These legal actions could seek damages and seek to enjoin testing, manufacturing and marketing of the accused product or process. In addition to potential liability for significant damages, we could be required to redesign affected products or obtain a license to continue to manufacture or market the accused product or process and any license required under any such patent may not be made available to us on acceptable terms, if at all. Competitors may sue us as a way of delaying the introduction of our Products, our Product Candidates, or any other product candidates we may develop. Any litigation, including any interference or derivation proceedings to determine priority of inventions, oppositions or other post-grant review proceedings to patents in the U.S. or in countries outside the U.S., or litigation against our partners may be costly and time-consuming and could harm our business. We expect that litigation may be necessary in some instances to determine the validity and scope of certain of our proprietary rights. Litigation may be necessary in other instances to determine the validity, scope and/or non-infringement of certain patent rights claimed by third parties to be pertinent to the manufacture, use or sale of our Products, our Product Candidates, or any other product candidates we may develop. Ultimately, the outcome of such litigation could adversely affect the validity and scope of our patent or other proprietary rights or hinder our ability to manufacture and market our Products, our Product Candidates, or any other product candidates we may develop.</w:t>
      </w:r>
    </w:p>
    <w:p>
      <w:pPr>
        <w:spacing w:after="0" w:line="168"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Periodically, we review publicly available information regarding the development efforts of others in order to determine whether these efforts may violate our proprietary rights. We may determine that litigation is necessary to enforce our proprietary rights against others. Such litigation could result in substantial expense, regardless of its outcome, and may not be resolved in our favor.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25" w:lineRule="exact"/>
        <w:rPr>
          <w:sz w:val="20"/>
          <w:szCs w:val="20"/>
          <w:color w:val="auto"/>
        </w:rPr>
      </w:pPr>
    </w:p>
    <w:p>
      <w:pPr>
        <w:jc w:val="both"/>
        <w:ind w:right="240" w:firstLine="589"/>
        <w:spacing w:after="0" w:line="259" w:lineRule="auto"/>
        <w:rPr>
          <w:sz w:val="20"/>
          <w:szCs w:val="20"/>
          <w:color w:val="auto"/>
        </w:rPr>
      </w:pPr>
      <w:r>
        <w:rPr>
          <w:rFonts w:ascii="Arial" w:cs="Arial" w:eastAsia="Arial" w:hAnsi="Arial"/>
          <w:sz w:val="18"/>
          <w:szCs w:val="18"/>
          <w:color w:val="auto"/>
        </w:rPr>
        <w:t>The stock markets, in general, and in particular with respect to biotech and life sciences companies, have experienced extreme volatility that has often been unrelated to the operating performance of particular companies. These broad market fluctuations may adversely affect the trading price of our common stock. In addition, the limited trading volume of our stock may contribute to its volatility. Our stock price may be particularly volatile given the stage of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ind w:right="140" w:firstLine="589"/>
        <w:spacing w:after="0" w:line="342" w:lineRule="auto"/>
        <w:rPr>
          <w:sz w:val="20"/>
          <w:szCs w:val="20"/>
          <w:color w:val="auto"/>
        </w:rPr>
      </w:pPr>
      <w:r>
        <w:rPr>
          <w:rFonts w:ascii="Arial" w:cs="Arial" w:eastAsia="Arial" w:hAnsi="Arial"/>
          <w:sz w:val="16"/>
          <w:szCs w:val="16"/>
          <w:color w:val="auto"/>
        </w:rPr>
        <w:t>In the past, following periods of volatility in the market price of a particular company’s securities, litigation has often been brought against that company. If litigation of this type is brought against us, it could be extremely expensive and divert management’s attention and our Company’s resources.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our bylaws and Delaware law contain provisions that could discourage another company from acquiring us and may prevent attempts by our stockholders to replace or remove our current management.</w:t>
      </w:r>
    </w:p>
    <w:p>
      <w:pPr>
        <w:spacing w:after="0" w:line="170"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Provisions of Delaware law, our certificate of incorporation and our bylaws may discourage, delay or prevent a merger or acquisition that stockholders may consider favorable, including transactions in which you might otherwise receive a premium for your shares. In addition, these provisions may frustrate or prevent any attempts by our stockholders to replace or remove our current management by making it more difficult for stockholders to replace or remove our Board of Directors. These provisions include authorizing the issuance of “blank check” preferred stock without any need for action by stockholders.</w:t>
      </w:r>
    </w:p>
    <w:p>
      <w:pPr>
        <w:spacing w:after="0" w:line="188"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addition, Section 203 of Delaware General Corporation Law, which is applicable to us, may discourage, delay or prevent a change in control of our Company by prohibiting stockholders owning in excess of 15% of our outstanding voting stock from merging or combining with us, unless certain approvals are obtained.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our Convertible Notes would result in substantial dilution for our existing stockholders.</w:t>
      </w:r>
    </w:p>
    <w:p>
      <w:pPr>
        <w:spacing w:after="0" w:line="225"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Our Convertible Notes bear interest at a rate of 6% per annum, payable quarterly in cash or in kind, at the election of the holders of the Convertible Notes. The Convertible Notes are convertible into shares of our common stock at a rate of 1,250 shares for every $1,000 of principal and accrued interest that is being converted. In the event the holders of the Convertible Notes were to opt to convert in full the outstanding principal and accrued interest due under the Convertible Notes as of December 31, 2020, we would be required to issue an aggregate of approximately 9.5 million shares, representing 9.4% of our outstanding shares, after giving effect to such conversion. This would result in substantial dilution of our existing stockholders.</w:t>
      </w:r>
    </w:p>
    <w:p>
      <w:pPr>
        <w:spacing w:after="0" w:line="1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utilization of net operating loss carryforwards or research and development credit carryforwards may be impaired due to recent changes in ownership.</w:t>
      </w:r>
    </w:p>
    <w:p>
      <w:pPr>
        <w:spacing w:after="0" w:line="170" w:lineRule="exact"/>
        <w:rPr>
          <w:sz w:val="20"/>
          <w:szCs w:val="20"/>
          <w:color w:val="auto"/>
        </w:rPr>
      </w:pPr>
    </w:p>
    <w:p>
      <w:pPr>
        <w:jc w:val="both"/>
        <w:ind w:right="120" w:firstLine="589"/>
        <w:spacing w:after="0" w:line="287" w:lineRule="auto"/>
        <w:rPr>
          <w:sz w:val="20"/>
          <w:szCs w:val="20"/>
          <w:color w:val="auto"/>
        </w:rPr>
      </w:pPr>
      <w:r>
        <w:rPr>
          <w:rFonts w:ascii="Arial" w:cs="Arial" w:eastAsia="Arial" w:hAnsi="Arial"/>
          <w:sz w:val="16"/>
          <w:szCs w:val="16"/>
          <w:color w:val="auto"/>
        </w:rPr>
        <w:t>We believe our net operating loss and research and development credit carryforwards, and certain other tax attributes, may be subject to limitation under Section 382 of the Internal Revenue Code of 1986 (“IRC”). As a result, our deferred tax assets, and related valuation allowance, have been reduced for the estimated impact of the net operating loss and research and development credit carryforwards that we currently estimate may expire, unused.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Utilization of our remaining net operating loss and research and development credit carryforwards may still be subject to substantial annual limitations due to ownership change limitations provided by the IRC and similar state provisions for ownership changes after December 31, 2018, including those that may come in conjunction with future equity financings or market trades by our stockholders.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22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Proxy contests have been waged against many companies in the biopharmaceutical industry over the last few years. If faced with a proxy contest, we may not be able to respond successfully to the contest, which would be disruptive to our business. Even if we are successful, our business could be adversely affected by a proxy contest involving us because:</w:t>
      </w:r>
    </w:p>
    <w:p>
      <w:pPr>
        <w:spacing w:after="0" w:line="184" w:lineRule="exact"/>
        <w:rPr>
          <w:sz w:val="20"/>
          <w:szCs w:val="20"/>
          <w:color w:val="auto"/>
        </w:rPr>
      </w:pPr>
    </w:p>
    <w:p>
      <w:pPr>
        <w:ind w:left="102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responding to proxy contests and other actions by activist stockholders can be costly and time-consuming, disrupting operations and diverting the attention of management and employees, and can lead to uncertainty;</w:t>
      </w:r>
    </w:p>
    <w:p>
      <w:pPr>
        <w:spacing w:after="0" w:line="170"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uncertainties as to future direction may result in the loss of potential acquisitions, collaborations or in-licensing opportunities, and may make it more difficult to attract and retain qualified personnel and business partners; and</w:t>
      </w:r>
    </w:p>
    <w:p>
      <w:pPr>
        <w:spacing w:after="0" w:line="170" w:lineRule="exact"/>
        <w:rPr>
          <w:rFonts w:ascii="Arial" w:cs="Arial" w:eastAsia="Arial" w:hAnsi="Arial"/>
          <w:sz w:val="18"/>
          <w:szCs w:val="18"/>
          <w:color w:val="auto"/>
        </w:rPr>
      </w:pPr>
    </w:p>
    <w:p>
      <w:pPr>
        <w:ind w:left="1020" w:right="30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implement our strategic plan in a timely manner and create additional value for our stockholders.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actions could cause the market price of our common stock to experience periods of volatility.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identify a material weakness in our internal control over financial reporting, our ability to meet our reporting obligations and the trading price of our common stock could be negatively affected.</w:t>
      </w:r>
    </w:p>
    <w:p>
      <w:pPr>
        <w:spacing w:after="0" w:line="170"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84"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w:t>
      </w:r>
    </w:p>
    <w:p>
      <w:pPr>
        <w:spacing w:after="0" w:line="16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Failure to comply with reporting requirements could also subject us to sanctions and/or investigations by the SEC, The Nasdaq Capital Market or other regulatory authorities.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the source of gain for our stockholders.</w:t>
      </w:r>
    </w:p>
    <w:p>
      <w:pPr>
        <w:spacing w:after="0" w:line="17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current and future earnings to finance the growth and development of our business.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of December 31, 2020, we had an operating lease for 73,328 square feet of laboratory and office space in San Diego, California, with a lease term that expires on December 31, 2025.</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63" w:name="page64"/>
    <w:bookmarkEnd w:id="63"/>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80" w:hanging="1173"/>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Common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 of our common stock are traded on The Nasdaq Capital Market, under the symbol “HRTX.”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number of record holders of our common stock as of February 5, 2021 was 487.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We have never paid dividends on our common stock. We currently intend to retain all available funds and any future earnings for use in the operation and expansion of our business, and we do not anticipate paying any cash dividends in the foreseeable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following is not deemed “filed” with the SEC and is not to be incorporated by reference into any filing we make under the Securities Act of 1933, as amended, or under the Exchange Act, whether made before or after the date hereof and irrespective of any general incorporation by reference language in such filing.</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64" w:name="page65"/>
    <w:bookmarkEnd w:id="64"/>
    <w:p>
      <w:pPr>
        <w:ind w:right="40" w:firstLine="589"/>
        <w:spacing w:after="0" w:line="301" w:lineRule="auto"/>
        <w:rPr>
          <w:sz w:val="20"/>
          <w:szCs w:val="20"/>
          <w:color w:val="auto"/>
        </w:rPr>
      </w:pPr>
      <w:r>
        <w:rPr>
          <w:rFonts w:ascii="Arial" w:cs="Arial" w:eastAsia="Arial" w:hAnsi="Arial"/>
          <w:sz w:val="16"/>
          <w:szCs w:val="16"/>
          <w:color w:val="auto"/>
        </w:rPr>
        <w:t>The following graph shows the value of an investment of $100 on December 31, 2015 in Heron Therapeutics, Inc. common stock, the Nasdaq Composite Index (U.S.) and the Nasdaq Biotechnology Index. All values assume reinvestment of the pretax value of dividends paid by companies included in these indices and are calculated as of December 31</w:t>
      </w:r>
      <w:r>
        <w:rPr>
          <w:rFonts w:ascii="Arial" w:cs="Arial" w:eastAsia="Arial" w:hAnsi="Arial"/>
          <w:sz w:val="13"/>
          <w:szCs w:val="13"/>
          <w:color w:val="auto"/>
        </w:rPr>
        <w:t>st</w:t>
      </w:r>
      <w:r>
        <w:rPr>
          <w:rFonts w:ascii="Arial" w:cs="Arial" w:eastAsia="Arial" w:hAnsi="Arial"/>
          <w:sz w:val="16"/>
          <w:szCs w:val="16"/>
          <w:color w:val="auto"/>
        </w:rPr>
        <w:t xml:space="preserve"> of each year. The comparisons shown in the graph are based on historical data and we caution that the stock price performance shown in the graph is not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108585</wp:posOffset>
            </wp:positionV>
            <wp:extent cx="5349240" cy="4440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12/15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12/16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12/17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12/18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12/19</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12/20</w:t>
            </w:r>
          </w:p>
        </w:tc>
        <w:tc>
          <w:tcPr>
            <w:tcW w:w="100" w:type="dxa"/>
            <w:vAlign w:val="bottom"/>
            <w:tcBorders>
              <w:bottom w:val="single" w:sz="8" w:color="CFF0FC"/>
            </w:tcBorders>
          </w:tcPr>
          <w:p>
            <w:pPr>
              <w:spacing w:after="0"/>
              <w:rPr>
                <w:sz w:val="18"/>
                <w:szCs w:val="18"/>
                <w:color w:val="auto"/>
              </w:rPr>
            </w:pPr>
          </w:p>
        </w:tc>
      </w:tr>
      <w:tr>
        <w:trPr>
          <w:trHeight w:val="213"/>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Heron Therapeutics, Inc.</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79.27</w:t>
            </w:r>
          </w:p>
        </w:tc>
        <w:tc>
          <w:tcPr>
            <w:tcW w:w="100" w:type="dxa"/>
            <w:vAlign w:val="bottom"/>
            <w:shd w:val="clear" w:color="auto" w:fill="CFF0FC"/>
          </w:tcPr>
          <w:p>
            <w:pPr>
              <w:spacing w:after="0"/>
              <w:rPr>
                <w:sz w:val="18"/>
                <w:szCs w:val="18"/>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6"/>
                <w:szCs w:val="16"/>
                <w:color w:val="auto"/>
              </w:rPr>
              <w:t>Nasdaq Composite Index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271.64</w:t>
            </w:r>
          </w:p>
        </w:tc>
        <w:tc>
          <w:tcPr>
            <w:tcW w:w="100" w:type="dxa"/>
            <w:vAlign w:val="bottom"/>
          </w:tcPr>
          <w:p>
            <w:pPr>
              <w:spacing w:after="0"/>
              <w:rPr>
                <w:sz w:val="19"/>
                <w:szCs w:val="19"/>
                <w:color w:val="auto"/>
              </w:rPr>
            </w:pPr>
          </w:p>
        </w:tc>
      </w:tr>
      <w:tr>
        <w:trPr>
          <w:trHeight w:val="232"/>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Nasdaq Biotechnology Index</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137.90</w:t>
            </w:r>
          </w:p>
        </w:tc>
        <w:tc>
          <w:tcPr>
            <w:tcW w:w="100" w:type="dxa"/>
            <w:vAlign w:val="bottom"/>
            <w:shd w:val="clear" w:color="auto" w:fill="CFF0FC"/>
          </w:tcPr>
          <w:p>
            <w:pPr>
              <w:spacing w:after="0"/>
              <w:rPr>
                <w:sz w:val="20"/>
                <w:szCs w:val="20"/>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The following Selected Financial Data should be read in conjunction with “Management’s Discussion and Analysis of Financial Condition and Results of Operations” included in Item 7 and the Consolidated Financial Statements and Notes included in Item 8 of this Annual Report on Form 10-K.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center"/>
              <w:ind w:left="533"/>
              <w:spacing w:after="0"/>
              <w:rPr>
                <w:sz w:val="20"/>
                <w:szCs w:val="20"/>
                <w:color w:val="auto"/>
              </w:rPr>
            </w:pPr>
            <w:r>
              <w:rPr>
                <w:rFonts w:ascii="Arial" w:cs="Arial" w:eastAsia="Arial" w:hAnsi="Arial"/>
                <w:sz w:val="14"/>
                <w:szCs w:val="14"/>
                <w:b w:val="1"/>
                <w:bCs w:val="1"/>
                <w:color w:val="auto"/>
                <w:w w:val="91"/>
              </w:rPr>
              <w:t>Years Ended December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20" w:type="dxa"/>
            <w:vAlign w:val="bottom"/>
            <w:gridSpan w:val="9"/>
          </w:tcPr>
          <w:p>
            <w:pPr>
              <w:jc w:val="center"/>
              <w:ind w:right="270"/>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product sales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88,638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145,968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174,533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167,382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138,582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(210,694)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(183,937)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(194,558)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(2,926)</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(227,278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(204,749</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(178,840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(197,484</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(173,143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9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Shares used in computing basic and diluted net loss</w:t>
            </w: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 share</w:t>
            </w:r>
          </w:p>
        </w:tc>
        <w:tc>
          <w:tcPr>
            <w:tcW w:w="7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81,779</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73,193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71,898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144,583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Short-term investments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103,353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319,074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382,359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353,556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512,782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462,179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234,307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 payable to related party</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w w:val="95"/>
              </w:rPr>
              <w:t>(1,392,748)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w w:val="97"/>
              </w:rPr>
              <w:t>(1,165,470)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(960,721)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(783,455)</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(585,971)</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403,835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370,160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131,136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(21,251)</w:t>
            </w:r>
          </w:p>
        </w:tc>
        <w:tc>
          <w:tcPr>
            <w:tcW w:w="0" w:type="dxa"/>
            <w:vAlign w:val="bottom"/>
          </w:tcPr>
          <w:p>
            <w:pPr>
              <w:spacing w:after="0"/>
              <w:rPr>
                <w:sz w:val="1"/>
                <w:szCs w:val="1"/>
                <w:color w:val="auto"/>
              </w:rPr>
            </w:pPr>
          </w:p>
        </w:tc>
      </w:tr>
      <w:tr>
        <w:trPr>
          <w:trHeight w:val="647"/>
        </w:trPr>
        <w:tc>
          <w:tcPr>
            <w:tcW w:w="4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91"/>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0" w:firstLine="589"/>
        <w:spacing w:after="0" w:line="273"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audited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include forward-looking statements that involve risks and uncertainties. You should review the “Risk Factors” included in Item 1A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the Consolidated Financial Statements and Notes, included in Item 8 of this Annual Report on Form 10-K, to help provide an understanding of our financial condition, the changes in our financial condition and our results of operations. Our discussion is organized as follows:</w:t>
      </w:r>
    </w:p>
    <w:p>
      <w:pPr>
        <w:spacing w:after="0" w:line="143" w:lineRule="exact"/>
        <w:rPr>
          <w:sz w:val="20"/>
          <w:szCs w:val="20"/>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operating expenses.</w:t>
      </w:r>
    </w:p>
    <w:p>
      <w:pPr>
        <w:spacing w:after="0" w:line="184" w:lineRule="exact"/>
        <w:rPr>
          <w:rFonts w:ascii="Arial" w:cs="Arial" w:eastAsia="Arial" w:hAnsi="Arial"/>
          <w:sz w:val="18"/>
          <w:szCs w:val="18"/>
          <w:color w:val="auto"/>
        </w:rPr>
      </w:pPr>
    </w:p>
    <w:p>
      <w:pPr>
        <w:ind w:left="1020" w:right="80" w:hanging="432"/>
        <w:spacing w:after="0" w:line="27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Critical accounting policies and estimates. </w:t>
      </w:r>
      <w:r>
        <w:rPr>
          <w:rFonts w:ascii="Arial" w:cs="Arial" w:eastAsia="Arial" w:hAnsi="Arial"/>
          <w:sz w:val="17"/>
          <w:szCs w:val="17"/>
          <w:color w:val="auto"/>
        </w:rPr>
        <w:t>This section contains a discussion of the accounting policies that we believe are important to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condition and results of operations and that require significant judgment and estimates on the part of management in their application. In addition, all of our significant accounting policies, including the critical accounting policies and estimates, are summarized in Note 2 to the Consolidated Financial Statements included in Item 8 of this Annual Report on Form 10-K.</w:t>
      </w:r>
    </w:p>
    <w:p>
      <w:pPr>
        <w:spacing w:after="0" w:line="130" w:lineRule="exact"/>
        <w:rPr>
          <w:rFonts w:ascii="Arial" w:cs="Arial" w:eastAsia="Arial" w:hAnsi="Arial"/>
          <w:sz w:val="17"/>
          <w:szCs w:val="17"/>
          <w:color w:val="auto"/>
        </w:rPr>
      </w:pPr>
    </w:p>
    <w:p>
      <w:pPr>
        <w:ind w:left="1020" w:hanging="432"/>
        <w:spacing w:after="0" w:line="311"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provides an analysis of our results of operations presented in the accompanying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comprehensive loss by comparing the results for the year ended December 31, 2020 to the results for the year ended December 31, 2019 and comparing the results for the year ended December 31, 2019 to the results for the year ended December 31, 2018.</w:t>
      </w:r>
    </w:p>
    <w:p>
      <w:pPr>
        <w:spacing w:after="0" w:line="108" w:lineRule="exact"/>
        <w:rPr>
          <w:rFonts w:ascii="Arial" w:cs="Arial" w:eastAsia="Arial" w:hAnsi="Arial"/>
          <w:sz w:val="16"/>
          <w:szCs w:val="16"/>
          <w:color w:val="auto"/>
        </w:rPr>
      </w:pPr>
    </w:p>
    <w:p>
      <w:pPr>
        <w:ind w:left="1020" w:right="80" w:hanging="432"/>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cash flows and a discussion of our outstanding commitments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 that existed as of December 31, 2020. Included in this discussion is our financial capacity to fund our future commitments and a discussion of other financing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are a commercial-stage biotechnology company focused on improving the lives of patients by developing best-in-class treatments to address some of the most important unmet patient needs. We are developing novel, patient-focused solutions that apply our innovative science and technologies to already-approved pharmacological agents for patients suffering from pain or cancer.</w:t>
      </w:r>
    </w:p>
    <w:p>
      <w:pPr>
        <w:spacing w:after="0" w:line="184"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In August 2016, our first commercial product, SUSTOL</w:t>
      </w:r>
      <w:r>
        <w:rPr>
          <w:rFonts w:ascii="Arial" w:cs="Arial" w:eastAsia="Arial" w:hAnsi="Arial"/>
          <w:sz w:val="15"/>
          <w:szCs w:val="15"/>
          <w:color w:val="auto"/>
        </w:rPr>
        <w:t>®</w:t>
      </w:r>
      <w:r>
        <w:rPr>
          <w:rFonts w:ascii="Arial" w:cs="Arial" w:eastAsia="Arial" w:hAnsi="Arial"/>
          <w:sz w:val="18"/>
          <w:szCs w:val="18"/>
          <w:color w:val="auto"/>
        </w:rPr>
        <w:t xml:space="preserve"> (granisetron) extended-release injection (“SUSTOL”), was approved by the U.S. Food and Drug Administration (“FDA”).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(“5-HT</w:t>
      </w:r>
      <w:r>
        <w:rPr>
          <w:rFonts w:ascii="Arial" w:cs="Arial" w:eastAsia="Arial" w:hAnsi="Arial"/>
          <w:sz w:val="15"/>
          <w:szCs w:val="15"/>
          <w:color w:val="auto"/>
        </w:rPr>
        <w:t>3</w:t>
      </w:r>
      <w:r>
        <w:rPr>
          <w:rFonts w:ascii="Arial" w:cs="Arial" w:eastAsia="Arial" w:hAnsi="Arial"/>
          <w:sz w:val="18"/>
          <w:szCs w:val="18"/>
          <w:color w:val="auto"/>
        </w:rPr>
        <w:t>”) receptor antagonist that utilizes our Biochronomer Technology to maintain therapeutic levels of granisetron for ≥5 days. We commenced commercial sales of SUSTOL in the U.S. in October 2016.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7" w:name="page68"/>
    <w:bookmarkEnd w:id="67"/>
    <w:p>
      <w:pPr>
        <w:ind w:firstLine="589"/>
        <w:spacing w:after="0" w:line="269" w:lineRule="auto"/>
        <w:rPr>
          <w:sz w:val="20"/>
          <w:szCs w:val="20"/>
          <w:color w:val="auto"/>
        </w:rPr>
      </w:pPr>
      <w:r>
        <w:rPr>
          <w:rFonts w:ascii="Arial" w:cs="Arial" w:eastAsia="Arial" w:hAnsi="Arial"/>
          <w:sz w:val="17"/>
          <w:szCs w:val="17"/>
          <w:color w:val="auto"/>
        </w:rPr>
        <w:t>In November 2017, our second commercial product, CINVANTI</w:t>
      </w:r>
      <w:r>
        <w:rPr>
          <w:rFonts w:ascii="Arial" w:cs="Arial" w:eastAsia="Arial" w:hAnsi="Arial"/>
          <w:sz w:val="14"/>
          <w:szCs w:val="14"/>
          <w:color w:val="auto"/>
        </w:rPr>
        <w:t>®</w:t>
      </w:r>
      <w:r>
        <w:rPr>
          <w:rFonts w:ascii="Arial" w:cs="Arial" w:eastAsia="Arial" w:hAnsi="Arial"/>
          <w:sz w:val="17"/>
          <w:szCs w:val="17"/>
          <w:color w:val="auto"/>
        </w:rPr>
        <w:t xml:space="preserve"> (aprepitant) injectable emulsion (“CINVANTI”) was approved by the FDA. </w:t>
      </w:r>
      <w:r>
        <w:rPr>
          <w:rFonts w:ascii="Arial" w:cs="Arial" w:eastAsia="Arial" w:hAnsi="Arial"/>
          <w:sz w:val="17"/>
          <w:szCs w:val="17"/>
          <w:color w:val="1E1E1E"/>
        </w:rPr>
        <w:t>In</w:t>
      </w:r>
      <w:r>
        <w:rPr>
          <w:rFonts w:ascii="Arial" w:cs="Arial" w:eastAsia="Arial" w:hAnsi="Arial"/>
          <w:sz w:val="17"/>
          <w:szCs w:val="17"/>
          <w:color w:val="auto"/>
        </w:rPr>
        <w:t xml:space="preserve"> </w:t>
      </w:r>
      <w:r>
        <w:rPr>
          <w:rFonts w:ascii="Arial" w:cs="Arial" w:eastAsia="Arial" w:hAnsi="Arial"/>
          <w:sz w:val="17"/>
          <w:szCs w:val="17"/>
          <w:color w:val="1E1E1E"/>
        </w:rPr>
        <w:t xml:space="preserve">October 2019, the FDA approved our supplemental New Drug Application (“sNDA”) for CINVANTI to expand the indication and recommended dosage to include the 130 mg single-dose regimen for patients receiving </w:t>
      </w:r>
      <w:r>
        <w:rPr>
          <w:rFonts w:ascii="Arial" w:cs="Arial" w:eastAsia="Arial" w:hAnsi="Arial"/>
          <w:sz w:val="17"/>
          <w:szCs w:val="17"/>
          <w:color w:val="000000"/>
        </w:rPr>
        <w:t>moderately emetogenic cancer chemotherapy</w:t>
      </w:r>
      <w:r>
        <w:rPr>
          <w:rFonts w:ascii="Arial" w:cs="Arial" w:eastAsia="Arial" w:hAnsi="Arial"/>
          <w:sz w:val="17"/>
          <w:szCs w:val="17"/>
          <w:color w:val="1E1E1E"/>
        </w:rPr>
        <w:t xml:space="preserve"> (“MEC”). </w:t>
      </w:r>
      <w:r>
        <w:rPr>
          <w:rFonts w:ascii="Arial" w:cs="Arial" w:eastAsia="Arial" w:hAnsi="Arial"/>
          <w:sz w:val="17"/>
          <w:szCs w:val="17"/>
          <w:color w:val="000000"/>
        </w:rPr>
        <w:t>CINVANTI, in combination with</w:t>
      </w:r>
      <w:r>
        <w:rPr>
          <w:rFonts w:ascii="Arial" w:cs="Arial" w:eastAsia="Arial" w:hAnsi="Arial"/>
          <w:sz w:val="17"/>
          <w:szCs w:val="17"/>
          <w:color w:val="1E1E1E"/>
        </w:rPr>
        <w:t xml:space="preserve"> </w:t>
      </w:r>
      <w:r>
        <w:rPr>
          <w:rFonts w:ascii="Arial" w:cs="Arial" w:eastAsia="Arial" w:hAnsi="Arial"/>
          <w:sz w:val="17"/>
          <w:szCs w:val="17"/>
          <w:color w:val="000000"/>
        </w:rPr>
        <w:t>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intravenous (“IV”) formulation of aprepitant, a substance P/neurokinin-1 (“NK</w:t>
      </w:r>
      <w:r>
        <w:rPr>
          <w:rFonts w:ascii="Arial" w:cs="Arial" w:eastAsia="Arial" w:hAnsi="Arial"/>
          <w:sz w:val="14"/>
          <w:szCs w:val="14"/>
          <w:color w:val="000000"/>
        </w:rPr>
        <w:t>1</w:t>
      </w:r>
      <w:r>
        <w:rPr>
          <w:rFonts w:ascii="Arial" w:cs="Arial" w:eastAsia="Arial" w:hAnsi="Arial"/>
          <w:sz w:val="17"/>
          <w:szCs w:val="17"/>
          <w:color w:val="000000"/>
        </w:rPr>
        <w:t xml:space="preserve">”) receptor antagonist. We commenced commercial sales of CINVANTI in the U.S. in January 2018. In February 2019, the FDA </w:t>
      </w:r>
      <w:r>
        <w:rPr>
          <w:rFonts w:ascii="Arial" w:cs="Arial" w:eastAsia="Arial" w:hAnsi="Arial"/>
          <w:sz w:val="17"/>
          <w:szCs w:val="17"/>
          <w:color w:val="1E1E1E"/>
        </w:rPr>
        <w:t>approved our sNDA for CINVANTI,</w:t>
      </w:r>
      <w:r>
        <w:rPr>
          <w:rFonts w:ascii="Arial" w:cs="Arial" w:eastAsia="Arial" w:hAnsi="Arial"/>
          <w:sz w:val="17"/>
          <w:szCs w:val="17"/>
          <w:color w:val="000000"/>
        </w:rPr>
        <w:t xml:space="preserve"> </w:t>
      </w:r>
      <w:r>
        <w:rPr>
          <w:rFonts w:ascii="Arial" w:cs="Arial" w:eastAsia="Arial" w:hAnsi="Arial"/>
          <w:sz w:val="17"/>
          <w:szCs w:val="17"/>
          <w:color w:val="1E1E1E"/>
        </w:rPr>
        <w:t>for IV use, which expanded the administration of CINVANTI beyond the initially approved administration method (a 30-minute IV infusion) to include a 2-minute IV injection.</w:t>
      </w:r>
    </w:p>
    <w:p>
      <w:pPr>
        <w:spacing w:after="0" w:line="185"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HTX-019 is an investigational agent for the prevention of postoperative nausea and vomiting (“PONV”). HTX-019 is an IV injectable emulsion formulation designed to directly deliver aprepitant, the active ingredient in EMEND</w:t>
      </w:r>
      <w:r>
        <w:rPr>
          <w:rFonts w:ascii="Arial" w:cs="Arial" w:eastAsia="Arial" w:hAnsi="Arial"/>
          <w:sz w:val="15"/>
          <w:szCs w:val="15"/>
          <w:color w:val="auto"/>
        </w:rPr>
        <w:t>®</w:t>
      </w:r>
      <w:r>
        <w:rPr>
          <w:rFonts w:ascii="Arial" w:cs="Arial" w:eastAsia="Arial" w:hAnsi="Arial"/>
          <w:sz w:val="18"/>
          <w:szCs w:val="18"/>
          <w:color w:val="auto"/>
        </w:rPr>
        <w:t xml:space="preserve"> (aprepitant) capsules, which is the only NK</w:t>
      </w:r>
      <w:r>
        <w:rPr>
          <w:rFonts w:ascii="Arial" w:cs="Arial" w:eastAsia="Arial" w:hAnsi="Arial"/>
          <w:sz w:val="15"/>
          <w:szCs w:val="15"/>
          <w:color w:val="auto"/>
        </w:rPr>
        <w:t>1</w:t>
      </w:r>
      <w:r>
        <w:rPr>
          <w:rFonts w:ascii="Arial" w:cs="Arial" w:eastAsia="Arial" w:hAnsi="Arial"/>
          <w:sz w:val="18"/>
          <w:szCs w:val="18"/>
          <w:color w:val="auto"/>
        </w:rPr>
        <w:t xml:space="preserve"> receptor antagonist approved in the U.S. for the prevention of PONV in adults. The FDA-approved dose of oral EMEND is 40 mg for PONV, which is given within 3 hours prior to induction of anesthesia for surgery. An Investigational New Drug application for HTX-019 for PONV was approved by the FDA in late September 2020. In a Phase 1 clinical trial, 32 mg of HTX-019 as a 30-second IV injection was demonstrated to be bioequivalent to oral aprepitant 40 mg. An NDA for HTX-019 is planned in late 2021 for prevention of PONV in adults.</w:t>
      </w:r>
    </w:p>
    <w:p>
      <w:pPr>
        <w:spacing w:after="0" w:line="192"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1E1E1E"/>
        </w:rPr>
        <w:t>In September 2020, our third approved product, ZYNRELEF</w:t>
      </w:r>
      <w:r>
        <w:rPr>
          <w:rFonts w:ascii="Arial" w:cs="Arial" w:eastAsia="Arial" w:hAnsi="Arial"/>
          <w:sz w:val="15"/>
          <w:szCs w:val="15"/>
          <w:color w:val="1E1E1E"/>
        </w:rPr>
        <w:t>™</w:t>
      </w:r>
      <w:r>
        <w:rPr>
          <w:rFonts w:ascii="Arial" w:cs="Arial" w:eastAsia="Arial" w:hAnsi="Arial"/>
          <w:sz w:val="18"/>
          <w:szCs w:val="18"/>
          <w:color w:val="1E1E1E"/>
        </w:rPr>
        <w:t xml:space="preserve"> (also known as HTX-011) was granted a marketing authorization by the European Commission (“EC”). ZYNRELEF is indicated for the treatment of somatic postoperative pain from small- to medium-sized surgical wounds in adults. ZYNRELEF, a </w:t>
      </w:r>
      <w:r>
        <w:rPr>
          <w:rFonts w:ascii="Arial" w:cs="Arial" w:eastAsia="Arial" w:hAnsi="Arial"/>
          <w:sz w:val="18"/>
          <w:szCs w:val="18"/>
          <w:color w:val="000000"/>
        </w:rPr>
        <w:t>non-opioid, is a dual-acting, fixed-dose combination of the local anesthetic bupivacaine with a low dose of the 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As we build large-scale manufacturing capacity to meet the anticipated commercial demand in the U.S. and the rest of the world, we are developing a coordinated global marketing strategy.</w:t>
      </w:r>
    </w:p>
    <w:p>
      <w:pPr>
        <w:spacing w:after="0" w:line="195"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 xml:space="preserve">HTX-011 (ZYNRELEF in Europe) is an investigational agent in the U.S. and Canada. The FDA granted Breakthrough Therapy designation to HTX-011 and the New Drug Application (“NDA”) received Priority Review designation. A Complete Response Letter (“CRL”) was received from the FDA regarding the NDA for HTX-011 in June 2020. The CRL stated that the FDA is unable to approve the NDA in its present form based on the need for additional non-clinical information. Based on the complete review of the NDA, the FDA did not identify any clinical safety or efficacy issues or chemistry, manufacturing and controls issues. 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6"/>
          <w:szCs w:val="16"/>
          <w:color w:val="1E1E1E"/>
        </w:rPr>
        <w:t>At the Type A End-of-Review meeting in September 2020 (the “Type A Meeting”),</w:t>
      </w:r>
      <w:r>
        <w:rPr>
          <w:rFonts w:ascii="Arial" w:cs="Arial" w:eastAsia="Arial" w:hAnsi="Arial"/>
          <w:sz w:val="16"/>
          <w:szCs w:val="16"/>
          <w:color w:val="auto"/>
        </w:rPr>
        <w:t xml:space="preserve"> </w:t>
      </w:r>
      <w:r>
        <w:rPr>
          <w:rFonts w:ascii="Arial" w:cs="Arial" w:eastAsia="Arial" w:hAnsi="Arial"/>
          <w:sz w:val="16"/>
          <w:szCs w:val="16"/>
          <w:color w:val="1E1E1E"/>
        </w:rPr>
        <w:t xml:space="preserve">the FDA agreed with the change to the manufacturing specification proposed by Heron to address the FDA’s concern and agreed with our proposal to bridge the clinical and nonclinical excipient exposure data to address the other 3 deficiencies. </w:t>
      </w:r>
      <w:r>
        <w:rPr>
          <w:rFonts w:ascii="Arial" w:cs="Arial" w:eastAsia="Arial" w:hAnsi="Arial"/>
          <w:sz w:val="16"/>
          <w:szCs w:val="16"/>
          <w:color w:val="000000"/>
        </w:rPr>
        <w:t>In November 2020, we resubmitted the NDA to the FDA for</w:t>
      </w:r>
      <w:r>
        <w:rPr>
          <w:rFonts w:ascii="Arial" w:cs="Arial" w:eastAsia="Arial" w:hAnsi="Arial"/>
          <w:sz w:val="16"/>
          <w:szCs w:val="16"/>
          <w:color w:val="1E1E1E"/>
        </w:rPr>
        <w:t xml:space="preserve"> </w:t>
      </w:r>
      <w:r>
        <w:rPr>
          <w:rFonts w:ascii="Arial" w:cs="Arial" w:eastAsia="Arial" w:hAnsi="Arial"/>
          <w:sz w:val="16"/>
          <w:szCs w:val="16"/>
          <w:color w:val="000000"/>
        </w:rPr>
        <w:t>HTX-011 based on the outcome and final minutes of the Type A Meeting. The Prescription Drug User Fee Act goal date is May 12, 2021.</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p>
      <w:pPr>
        <w:ind w:right="20" w:firstLine="589"/>
        <w:spacing w:after="0" w:line="217" w:lineRule="exact"/>
        <w:rPr>
          <w:sz w:val="20"/>
          <w:szCs w:val="20"/>
          <w:color w:val="auto"/>
        </w:rPr>
      </w:pPr>
      <w:r>
        <w:rPr>
          <w:rFonts w:ascii="Arial" w:cs="Arial" w:eastAsia="Arial" w:hAnsi="Arial"/>
          <w:sz w:val="17"/>
          <w:szCs w:val="17"/>
          <w:color w:val="1E1E1E"/>
        </w:rPr>
        <w:t xml:space="preserve">HTX-034, </w:t>
      </w:r>
      <w:r>
        <w:rPr>
          <w:rFonts w:ascii="Arial" w:cs="Arial" w:eastAsia="Arial" w:hAnsi="Arial"/>
          <w:sz w:val="17"/>
          <w:szCs w:val="17"/>
          <w:color w:val="000000"/>
        </w:rPr>
        <w:t>our next-generation product candidate for postoperative pain management, is</w:t>
      </w:r>
      <w:r>
        <w:rPr>
          <w:rFonts w:ascii="Arial" w:cs="Arial" w:eastAsia="Arial" w:hAnsi="Arial"/>
          <w:sz w:val="17"/>
          <w:szCs w:val="17"/>
          <w:color w:val="1E1E1E"/>
        </w:rPr>
        <w:t xml:space="preserve"> an investigational non-opioid, fixed-dose combination, extended</w:t>
      </w:r>
      <w:r>
        <w:rPr>
          <w:rFonts w:ascii="MS PGothic" w:cs="MS PGothic" w:eastAsia="MS PGothic" w:hAnsi="MS PGothic"/>
          <w:sz w:val="17"/>
          <w:szCs w:val="17"/>
          <w:color w:val="1E1E1E"/>
        </w:rPr>
        <w:t>‑</w:t>
      </w:r>
      <w:r>
        <w:rPr>
          <w:rFonts w:ascii="Arial" w:cs="Arial" w:eastAsia="Arial" w:hAnsi="Arial"/>
          <w:sz w:val="17"/>
          <w:szCs w:val="17"/>
          <w:color w:val="1E1E1E"/>
        </w:rPr>
        <w:t xml:space="preserve">release solution of the local anesthetic bupivacaine, the nonsteroidal anti-inflammatory drug meloxicam and an additional agent that further potentiates the activity of bupivacaine. HTX-034 is formulated in the same proprietary polymer as HTX-011 </w:t>
      </w:r>
      <w:r>
        <w:rPr>
          <w:rFonts w:ascii="Arial" w:cs="Arial" w:eastAsia="Arial" w:hAnsi="Arial"/>
          <w:sz w:val="17"/>
          <w:szCs w:val="17"/>
          <w:color w:val="000000"/>
        </w:rPr>
        <w:t>(ZYNRELEF in the Europe)</w:t>
      </w:r>
      <w:r>
        <w:rPr>
          <w:rFonts w:ascii="Arial" w:cs="Arial" w:eastAsia="Arial" w:hAnsi="Arial"/>
          <w:sz w:val="17"/>
          <w:szCs w:val="17"/>
          <w:color w:val="1E1E1E"/>
        </w:rPr>
        <w:t>.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 In May 2020, we initiated a Phase 1b/2 clinical study in patients undergoing bunionectomy of HTX-034. In the Phase 1b portion of this Phase 1b/2 double-blind, randomized, active-controlled, dose-escalation study in 33 patients undergoing bunionectomy, the reduction in pain intensity observed was greater with the lowest dose of HTX-034 evaluated (containing 21.7 mg of bupivacaine plus meloxicam and aprepitant) than with the bupivacaine 50 mg solution through 96 hours. In addition, 45.5% of HTX-034 patients remained opioid-free through Day 15 with median opioid consumption of 2.5 milligram morphine equivalents (same as one 5 mg oxycodone pill) through 72-hours, a 71% reduction compared to bupivacaine solution. We expect to initiate the expanded Phase 2 portion of the study for HTX-034 in the first quarter of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225" w:lineRule="exact"/>
        <w:rPr>
          <w:sz w:val="20"/>
          <w:szCs w:val="20"/>
          <w:color w:val="auto"/>
        </w:rPr>
      </w:pPr>
    </w:p>
    <w:p>
      <w:pPr>
        <w:jc w:val="both"/>
        <w:ind w:right="440" w:firstLine="589"/>
        <w:spacing w:after="0" w:line="263" w:lineRule="auto"/>
        <w:rPr>
          <w:sz w:val="20"/>
          <w:szCs w:val="20"/>
          <w:color w:val="auto"/>
        </w:rPr>
      </w:pPr>
      <w:r>
        <w:rPr>
          <w:rFonts w:ascii="Arial" w:cs="Arial" w:eastAsia="Arial" w:hAnsi="Arial"/>
          <w:sz w:val="18"/>
          <w:szCs w:val="18"/>
          <w:color w:val="auto"/>
        </w:rPr>
        <w:t>Net product sales include revenue recognized for sales of CINVANTI and SUSTOL to a limited number of specialty distributors and full line wholesalers (collectively, “Customers”), less applicable sales allowances. See the “Critical Accounting Policies and Estimates” section of this Annual Report on Form 10-K for further details on our revenue recognition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17"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Cost of product sales relates to the costs to produce, package and deliver CINVANTI and SUSTOL to our Customers. These costs include raw materials, labor, manufacturing and quality control overhead, and depreciation of equipment, as well as shipping and distribution costs. See the “Critical Accounting Policies and Estimates” section of this Annual Report on Form 10-K for further details on our inventory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All costs of research and development are expensed in the period incurred. Research and development expense primarily consists of salaries, stock-based compensation expense and other related costs for personnel in manufacturing, clinical and preclinical development, regulatory, quality and medical affairs. Other research and development expense includes professional fees paid to outside service providers and consultants, facilities costs and materials used in the clinical and preclinical trials and research and development.</w:t>
      </w:r>
    </w:p>
    <w:p>
      <w:pPr>
        <w:spacing w:after="0" w:line="187" w:lineRule="exact"/>
        <w:rPr>
          <w:sz w:val="20"/>
          <w:szCs w:val="20"/>
          <w:color w:val="auto"/>
        </w:rPr>
      </w:pPr>
    </w:p>
    <w:p>
      <w:pPr>
        <w:ind w:right="380" w:firstLine="589"/>
        <w:spacing w:after="0" w:line="286" w:lineRule="auto"/>
        <w:rPr>
          <w:sz w:val="20"/>
          <w:szCs w:val="20"/>
          <w:color w:val="auto"/>
        </w:rPr>
      </w:pPr>
      <w:r>
        <w:rPr>
          <w:rFonts w:ascii="Arial" w:cs="Arial" w:eastAsia="Arial" w:hAnsi="Arial"/>
          <w:sz w:val="17"/>
          <w:szCs w:val="17"/>
          <w:color w:val="auto"/>
        </w:rPr>
        <w:t>At this time, due to the risks inherent in the clinical trial process, we are unable to estimate with any certainty the costs we will incur in the continued development of our Product Candidates. Other than costs for outsourced services associated with our clinical programs, we generally do not track research and development expense by project; rather, we track such expense by the type of cost incurred.</w:t>
      </w:r>
    </w:p>
    <w:p>
      <w:pPr>
        <w:spacing w:after="0" w:line="165"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We expect research and development expense to remain comparable in 2021, as we continue our ongoing research and development efforts for our Product Candidates, clinical and manufacturing costs, and costs for postmarketing requirements for CINVANTI and SUSTOL. The lengthy process of completing our clinical trials and seeking regulatory approval for our Product Candidates requires the expenditure of substantial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500" w:firstLine="589"/>
        <w:spacing w:after="0" w:line="301" w:lineRule="auto"/>
        <w:rPr>
          <w:sz w:val="20"/>
          <w:szCs w:val="20"/>
          <w:color w:val="auto"/>
        </w:rPr>
      </w:pPr>
      <w:r>
        <w:rPr>
          <w:rFonts w:ascii="Arial" w:cs="Arial" w:eastAsia="Arial" w:hAnsi="Arial"/>
          <w:sz w:val="16"/>
          <w:szCs w:val="16"/>
          <w:color w:val="auto"/>
        </w:rPr>
        <w:t>General and administrative expense primarily consists of salaries, stock-based compensation expense and other related costs for personnel in executive, finance and accounting, information technology, legal and human resource functions. Other general and administrative expense includes professional fees for legal, investor relations, accounting and other general corporate purposes, facility costs and insurance not otherwise included in research and development expense. We expect general and administrative expense in 2021 to remain consistent with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Sales and marketing expense primarily consists of salaries and related costs for personnel, stock-based compensation expense and other related costs for sales operations, marketing and market access. Other sales and marketing costs include professional fees and commercialization costs related to launch preparation activities for HTX-011 and ongoing costs related to CINVANTI and SUSTOL. We expect sales and marketing expense to significantly increase in 2021 to support the launch of HTX-011, if approved. The commercial launch process requires the expenditure of substantial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Other income (expense), net primarily consists of interest income earned on our cash, cash equivalents and short-term investments, and other income resulting from the disgorgement of short-swing profits arising from the sales of our common stock by a beneficial owner pursuant to Section 16(b) of the Securities and Exchange Act of 1934 (“Exchange Act”). In addition, other income (expense), net includes interest expense on the Subordinated Secured Promissory Note (“Promissory Note”), as well as interest expense and amortization of debt discount related to our Senior Secured Convertible Notes (“Convertible Notes”), and impairment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accounting principles generally accepted in the U.S. The preparation of these financial statements requires us to make estimates and judgments that affect the reported amounts of assets, liabilities, revenues and expenses, and related disclosure of contingent assets and liabilities. We evaluate our estimates on an ongoing basis, including those related to revenue recognition, investments, inventory, accrued clinical liabilities, income taxes and stock-based compensation. We base our estimates on historical experience and on assumptions that we believe to be reasonable under the circumstances, the results of which form the basis of making judgments about the carrying values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Our critical accounting policies used in the preparation of our consolidated financial statements involve significant judgments and estimates and include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Sales</w:t>
      </w:r>
    </w:p>
    <w:p>
      <w:pPr>
        <w:spacing w:after="0" w:line="225"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CINVANTI and SUSTOL are distributed in the U.S. through a limited number of Customers that resell to healthcare providers and hospitals, the end users of CINVANTI and SUSTOL.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Topic 606</w:t>
      </w:r>
    </w:p>
    <w:p>
      <w:pPr>
        <w:spacing w:after="0" w:line="11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 xml:space="preserve">On January 1, 2018, we adopted the Financial Accounting Standards Board (“FASB”) Accounting Standards Update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(“Topic 606”) using the modified retrospective approach applied to those contracts that were not completed as of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recognize product sales as revenue when our products are sold to our Customers (sell-in approach). Product sales under Topic 606 are reported net of product sales allowances, which include product returns.</w:t>
      </w:r>
    </w:p>
    <w:p>
      <w:pPr>
        <w:spacing w:after="0" w:line="18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Revenue is recognized in an amount that reflects the consideration we expect to receive in exchange for our Products. To determine revenue recognition for contracts with customers within the scope of Topic 606, we performed the following 5 steps: (i) identify the contract(s) with a customer; (ii) identify the performance obligations of the contract(s); (iii) determine the transaction price; (iv) allocate the transaction price to the performance obligations in the contract(s); and (v) recognize revenue when (or as) we satisfy the performance obligations.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Product Sales Allowances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recognize product sales allowances as a reduction of product sales in the same period the related revenue is recognized. Product sales allowances are based on amounts owed or to be claimed on the related sales. These estimates take into consideration the terms of our agreements with Customers, historical product returns, rebates or discounts taken, the shelf life of the product and specific known market events, such as competitive pricing and new product introductions. If actual future results vary from our estimates, we may need to adjust these estimates, which could have an effect on product sales and earnings in the period of adjustment. Our product sales allowances include:</w:t>
      </w:r>
    </w:p>
    <w:p>
      <w:pPr>
        <w:spacing w:after="0" w:line="136" w:lineRule="exact"/>
        <w:rPr>
          <w:sz w:val="20"/>
          <w:szCs w:val="20"/>
          <w:color w:val="auto"/>
        </w:rPr>
      </w:pPr>
    </w:p>
    <w:p>
      <w:pPr>
        <w:ind w:left="1020" w:right="260" w:hanging="432"/>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Product Returns—We allow our Customers to return product for credit for up to 12 months after its product expiration date. As such, there may be a significant period of time between the time the product is shipped and the time the credit is issued on returned product.</w:t>
      </w:r>
    </w:p>
    <w:p>
      <w:pPr>
        <w:spacing w:after="0" w:line="83" w:lineRule="exact"/>
        <w:rPr>
          <w:rFonts w:ascii="Arial" w:cs="Arial" w:eastAsia="Arial" w:hAnsi="Arial"/>
          <w:sz w:val="16"/>
          <w:szCs w:val="16"/>
          <w:color w:val="auto"/>
        </w:rPr>
      </w:pPr>
    </w:p>
    <w:p>
      <w:pPr>
        <w:ind w:left="1020" w:right="6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Distributor Fees—We offer contractually determined discounts to our Customers. These discounts are paid no later than two months after the quarter in which product was shipped.</w:t>
      </w:r>
    </w:p>
    <w:p>
      <w:pPr>
        <w:spacing w:after="0" w:line="129" w:lineRule="exact"/>
        <w:rPr>
          <w:rFonts w:ascii="Arial" w:cs="Arial" w:eastAsia="Arial" w:hAnsi="Arial"/>
          <w:sz w:val="18"/>
          <w:szCs w:val="18"/>
          <w:color w:val="auto"/>
        </w:rPr>
      </w:pPr>
    </w:p>
    <w:p>
      <w:pPr>
        <w:ind w:left="1020" w:right="180" w:hanging="432"/>
        <w:spacing w:after="0" w:line="311"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Group Purchasing Organization (“GPO”) Discounts and Rebates—We offer cash discounts to GPO members. These discounts are taken when the GPO members purchase product from our Customers, who then charge back to us the discount amount. Additionally, we offer volume and contract-tier rebates to GPO members. Rebates are based on actual purchase levels during the quarterly rebate purchase period.</w:t>
      </w:r>
    </w:p>
    <w:p>
      <w:pPr>
        <w:spacing w:after="0" w:line="108" w:lineRule="exact"/>
        <w:rPr>
          <w:rFonts w:ascii="Arial" w:cs="Arial" w:eastAsia="Arial" w:hAnsi="Arial"/>
          <w:sz w:val="16"/>
          <w:szCs w:val="16"/>
          <w:color w:val="auto"/>
        </w:rPr>
      </w:pPr>
    </w:p>
    <w:p>
      <w:pPr>
        <w:ind w:left="1020" w:right="2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GPO Administrative Fees—We pay administrative fees to GPOs for services and access to data. These fees are based on contracted terms and are paid after the quarter in which the product was purchased by the GPOs’ members.</w:t>
      </w:r>
    </w:p>
    <w:p>
      <w:pPr>
        <w:spacing w:after="0" w:line="129" w:lineRule="exact"/>
        <w:rPr>
          <w:rFonts w:ascii="Arial" w:cs="Arial" w:eastAsia="Arial" w:hAnsi="Arial"/>
          <w:sz w:val="18"/>
          <w:szCs w:val="18"/>
          <w:color w:val="auto"/>
        </w:rPr>
      </w:pPr>
    </w:p>
    <w:p>
      <w:pPr>
        <w:ind w:left="1020" w:right="340" w:hanging="432"/>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Medicaid Rebates—We participate in Medicaid rebate programs, which provide assistance to certain low-income patients based on each individual state’s guidelines regarding eligibility and services. Under the Medicaid rebate programs, we pay a rebate to each participating state, generally within three months after the quarter in which product was sold.</w:t>
      </w:r>
    </w:p>
    <w:p>
      <w:pPr>
        <w:spacing w:after="0" w:line="184" w:lineRule="exact"/>
        <w:rPr>
          <w:sz w:val="20"/>
          <w:szCs w:val="20"/>
          <w:color w:val="auto"/>
        </w:rPr>
      </w:pPr>
    </w:p>
    <w:p>
      <w:pPr>
        <w:jc w:val="both"/>
        <w:ind w:right="240" w:firstLine="589"/>
        <w:spacing w:after="0" w:line="311" w:lineRule="auto"/>
        <w:rPr>
          <w:sz w:val="20"/>
          <w:szCs w:val="20"/>
          <w:color w:val="auto"/>
        </w:rPr>
      </w:pPr>
      <w:r>
        <w:rPr>
          <w:rFonts w:ascii="Arial" w:cs="Arial" w:eastAsia="Arial" w:hAnsi="Arial"/>
          <w:sz w:val="16"/>
          <w:szCs w:val="16"/>
          <w:color w:val="auto"/>
        </w:rPr>
        <w:t>We believe our estimated allowance for product returns requires a high degree of judgment and is subject to change based on our experience and certain quantitative and qualitative factors. We believe our estimated allowances for distributor fees, GPO discounts, rebates and administrative fees and Medicaid rebates do not require a high degree of judgment because the amounts are settled within a relatively short period of time.</w:t>
      </w:r>
    </w:p>
    <w:p>
      <w:pPr>
        <w:spacing w:after="0" w:line="149" w:lineRule="exact"/>
        <w:rPr>
          <w:sz w:val="20"/>
          <w:szCs w:val="20"/>
          <w:color w:val="auto"/>
        </w:rPr>
      </w:pPr>
    </w:p>
    <w:p>
      <w:pPr>
        <w:ind w:right="40" w:firstLine="589"/>
        <w:spacing w:after="0" w:line="342" w:lineRule="auto"/>
        <w:rPr>
          <w:sz w:val="20"/>
          <w:szCs w:val="20"/>
          <w:color w:val="auto"/>
        </w:rPr>
      </w:pPr>
      <w:r>
        <w:rPr>
          <w:rFonts w:ascii="Arial" w:cs="Arial" w:eastAsia="Arial" w:hAnsi="Arial"/>
          <w:sz w:val="16"/>
          <w:szCs w:val="16"/>
          <w:color w:val="auto"/>
        </w:rPr>
        <w:t>Our product sales allowances and related accruals are evaluated each reporting period and adjusted when trends or significant events indicate that a change in estimate is appropriate. Changes in product sales allowance estimates could materially affect our results of operations and financial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212529"/>
        </w:rPr>
        <w:t>We invest in various types of securities, including U.S. treasury bills and government agency obligations, corporate debt securities and commercial paper. As of December 31, 2020, we had $159.3 million in investments which were classified as Level 1 or 2 within the fair value hierarchy. Fair values determined by Level 1 inputs utilize quoted prices in active markets for identical assets. Fair values determined by Level 2 inputs utilize data points that are observable such as quoted prices for similar assets, quoted prices in markets that are not active or other inputs that are observable. These securities have been initially valued at the transaction price and subsequently valued utilizing a third-party service provider who assesses the fair value using inputs other than quoted prices that are observable either directly or indirectly, such as yield curve, volatility factors, credit spreads, default rates, loss severity, current market and contractual prices for the underlying instruments or debt, broker and dealer quotes, as well as other relevant economic measures. We perform certain procedures to corroborate the fair value of these holdings, and in the process, we apply judgment and estimates that if changed, could significantly affect our statements of financial positions.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Inventory is stated at the lower of cost or estimated net realizable value on a first-in, first-out, or FIFO, basis. We periodically analyze our inventory levels and write down inventory that has become obsolete, inventory that has a cost basis in excess of its estimated realizable value and inventory quantities that are in excess of expected sales requirements as cost of product sales. The determination of whether inventory costs will be realizable requires estimates by management. If actual market conditions are less favorable than projected by management, additional write-downs of inventory may be required, which would be recorded as cost of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Clinical Liabilities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accrue clinical costs based on work performed, which relies on estimates of the progress of the clinical trials and the related expenses incurred. Clinical trial related contracts vary significantly in duration, and may be for a fixed amount, based on the achievement of certain contingent events or deliverables, a variable amount based on actual costs incurred, capped at a certain limit or contain a combination of these elements. Revisions are recorded to research and development expense in the period in which the facts that give rise to the revision become known. Historically, revisions have not resulted in material changes to research and development expense; however, a modification in the protocol of a clinical trial or cancellation of a clinical trial could result in a material charge to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We make certain estimates and judgments in determining income tax expense for financial statement purposes. These estimates and judgments occur in the calculation of certain deferred tax assets and liabilities, which arise from differences in the timing of recognition of revenue and expense for tax and financial statement purposes. As part of the process of preparing our consolidated financial statements, we are required to estimate our income taxes for each of the jurisdictions in which we operate. This process involves estimating our current tax exposure under the most recent tax laws and assessing temporary differences resulting from differing treatment of items for tax and financial statement purposes.</w:t>
      </w:r>
    </w:p>
    <w:p>
      <w:pPr>
        <w:spacing w:after="0" w:line="1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assess the likelihood that we will be able to recover our deferred tax assets. In doing so, we consider all available evidence, both positive and negative, including our historical levels of income and losses, expectations and risks associated with estimates of future taxable income and ongoing prudent and feasible tax planning strategies. A valuation allowance is provided when it is more likely than not that the deferred tax assets will not be realized. At December 31, 2020, we established a valuation allowance to offset our deferred tax assets due to the uncertainty of realizing future tax benefits from our net operating loss carryforwards and other deferred tax assets.</w:t>
      </w:r>
    </w:p>
    <w:p>
      <w:pPr>
        <w:spacing w:after="0" w:line="18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Should there be a change in our ability to recover our deferred tax assets, we would recognize a benefit to our tax provision in the period in which we determine that it is more likely than not that we will recover our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We generally grant stock-based payment awards under our stockholder-approved, stock-based compensation plans. We have granted, and may in the future grant, stock options and restricted stock awards to employees, directors, consultants and advisors under our Amended and Restated 2007 Equity Incentive Plan. In addition, all of our employees are eligible to participate in our 1997 Employee Stock Purchase Plan, as amended, which enables employees to purchase common stock at a discount through payroll deductions. Prior to our relisting on The Nasdaq Capital Market in January 2014, we issued non-plan stock option grants to certain employees, as set forth under Item 12 of this Annual Report on Form 10-K. These non-plan stock option grants were registered with the U.S. Securities and Exchange Commission (“SEC”) on Form S-8.</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60" w:firstLine="589"/>
        <w:spacing w:after="0" w:line="257" w:lineRule="auto"/>
        <w:rPr>
          <w:sz w:val="20"/>
          <w:szCs w:val="20"/>
          <w:color w:val="auto"/>
        </w:rPr>
      </w:pPr>
      <w:r>
        <w:rPr>
          <w:rFonts w:ascii="Arial" w:cs="Arial" w:eastAsia="Arial" w:hAnsi="Arial"/>
          <w:sz w:val="18"/>
          <w:szCs w:val="18"/>
          <w:color w:val="auto"/>
        </w:rPr>
        <w:t>We estimate the fair value of stock options granted using the Black-Scholes option pricing model. This fair value is then amortized over the requisite service periods of the awards. The Black-Scholes option pricing model requires the input of subjective assumptions, including each option’s expected life and price volatility of the underlying stock. Expected volatility is based on our historical stock price volatility. The expected life of employee stock options represents the average of the contractual term of the options and the weighted-average vesting period, as permitted under the simplified method.</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As stock-based compensation expense is based on awards ultimately expected to vest, it has been reduced for estimated forfeitures. Forfeitures are estimated at the time of grant and revised, if necessary, in subsequent periods if actual forfeitures differ from those estimates. Forfeitures are estimated based on historical experience. Changes in assumptions used under the Black-Scholes option pricing model could materially affect our net loss and net loss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 to the Consolidated Financial Statements included in Item 8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Product Sales</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Net product sales for the year ended December 31, 2020 were $88.6 million, compared to $146.0 million for the same period in 2019. For the year ended December 31, 2020, net product sales of CINVANTI were $87.8 million, compared to $132.2 million for the same period in 2019. For the year ended December 31, 2020, net product sales of SUSTOL were $0.8 million, compared to $13.8 million for the same period in 2019. On October 1, 2019, we made a business decision to discontinue all discounting of SUSTOL, to improve the reimbursement and net selling price of the product, which resulted in significantly lower SUSTOL net product sales in 2020. The decrease in net product sales of CINVANTI for the year ended December 31, 2020 was due to the impact of generic arbitrage. We believe that the most significant impact of the generic arbitrage is over and we expect growth of net product sales for our CINV franchise in 2021 and beyond.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Sales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For the year ended December 31, 2020, cost of product sales was $36.2 million, compared to $61.6 million for the same period in 2019. Cost of product sales primarily included raw materials, labor and overhead related to the manufacturing of CINVANTI and SUSTOL, as well as shipping and distribution costs. In addition, cost of product sales for the years ended December 31, 2020 and 2019 included charges resulting from the write-off of short-dated SUSTOL inventory of $0.1 million and $3.3 million, respectively.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7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26"/>
        </w:trPr>
        <w:tc>
          <w:tcPr>
            <w:tcW w:w="772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HTX-011-related costs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95,256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CINVANTI-related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7,521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HTX-034-related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SUSTOL-related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Personnel costs and other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20,731</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research and development expense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174,533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For the year ended December 31, 2020, research and development expense was $174.5 million, compared to $167.4 million for the same period in 2019. This increase was primarily due to an increase in personnel costs and other expenses of $3.9 million, costs related to CINVANTI of $2.9 million and stock-based compensation expense of $1.5 million, partially offset by a decrease in costs related to HTX-034 of $1.4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For the year ended December 31, 2020, general and administrative expense was $42.2 million, compared to $37.9 million for the same period in 2019. This increase was primarily due to an increase in facility-related costs resulting from the expansion of our office space in San Diego, California and an increase in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and Marketing Expense</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For the year ended December 31, 2020, sales and marketing expense was $63.9 million, compared to $89.8 million for the same period in 2019. This decrease was primarily due to a decrease in costs to support the ongoing commercialization of CINVANTI and SUSTOL, as well as a decrease in costs to support the launch preparation activities for HTX-011 (ZYNRELEF in Europe). In addition, during the year ended December 31, 2019, we recognized one-time costs associated with the retirement of our President in February 2019, including $8.4 million of stock-based compensation expense for stock option modifications. There was no comparable activity during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11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For the year ended December 31, 2020, other income, net was $0.9 million, compared to $5.9 million for the same period in 2019. The decrease was primarily due to a decrease in interest income earned on our short-term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Product Sales</w:t>
      </w:r>
    </w:p>
    <w:p>
      <w:pPr>
        <w:spacing w:after="0" w:line="11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Net product sales for the year ended December 31, 2019 were $146.0 million, compared to $77.5 million for the same period in 2018. For the year ended December 31, 2019, net product sales of CINVANTI were $132.2 million, compared to $56.2 million for the same period in 2018. For the year ended December 31, 2019, net product sales of SUSTOL were $13.8 million, compared to $21.3 million for the same period in 2018. On October 1, 2019, we made a business decision to discontinue all discounting of SUSTOL which resulted in significantly lower SUSTOL net product sales.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Sales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For the year ended December 31, 2019, cost of product sales was $61.6 million, compared to $27.5 million for the same period in 2018. Cost of product sales primarily included raw materials, labor and overhead related to the manufacturing of CINVANTI and SUSTOL, as well as shipping and distribution costs. In addition, cost of product sales for the years ended December 31, 2019 and 2018 included charges resulting from the write-off of short-dated SUSTOL inventory of $3.3 million and $1.8 million, respectively.</w:t>
      </w:r>
    </w:p>
    <w:p>
      <w:pPr>
        <w:spacing w:after="0" w:line="18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Prior to FDA approval, $1.4 million of costs to manufacture CINVANTI were recorded to research and development expense in prior periods. By March 31, 2018, all CINVANTI units that were manufactured prior to FDA approval had been sold. We began capitalizing raw materials, labor and overhead related to the manufacturing of CINVANTI following FDA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7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r>
      <w:tr>
        <w:trPr>
          <w:trHeight w:val="26"/>
        </w:trPr>
        <w:tc>
          <w:tcPr>
            <w:tcW w:w="772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HTX-011-related costs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95,256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HTX-034-related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CINVANTI-related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SUSTOL-related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Personnel costs and other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research and development expense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167,382</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For the year ended December 31, 2019, research and development expense was $167.4 million, compared to $140.0 million for the same period in 2018. This increase was primarily due to an increase in costs related to HTX-011 and HTX-034 of $13.4 million and $5.7 million, respectively, as well as personnel costs and other expenses of $6.8 million and stock-based compensation expense of $5.5 million, partially offset by decreases in costs related to CINVANTI and SUSTOL of $2.7 million and $1.4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w:t>
      </w:r>
    </w:p>
    <w:p>
      <w:pPr>
        <w:spacing w:after="0" w:line="117"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For the year ended December 31, 2019, general and administrative expense was $37.9 million, compared to $29.3 million for the same period in 2018. This increase was primarily due to an increase in personnel costs and other expenses to support our increased development and commercialization efforts and an increase in stock-based compensation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auto"/>
        </w:rPr>
        <w:t>Sales and Marketing Expense</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For the year ended December 31, 2019, sales and marketing expense was $89.8 million, compared to $64.6 million for the same period in 2018. This increase was primarily due to costs to support the launch preparation activities for HTX-011. In addition, the increase was related to one-time costs associated with the retirement of our President in February 2019, including $8.4 million of stock-based compensation expense for stock option modifications.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For the year ended December 31, 2019, other income, net was $5.9 million, compared to $5.1 million for the same period in 2018. This increase was primarily due to interest income earned on our short-term investments, as well as a decrease in interest expense due to the repayment of the Promissory Note in August 2018, partially offset by other income resulting from the disgorgement of short-swing profits arising from the sales of our common stock by a beneficial owner pursuant to Section 16(b) of the Exchange Act in September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As of December 31, 2020, we had cash, cash equivalents and short-term investments of $208.5 million, compared to $391.0 million as of December 31, 2019. Based on our current operating plan and projections, we believe that existing cash, cash equivalents and short-term investments will be sufficient to meet our anticipated cash requirements for at least one year from the date this Annual Report on Form 10-K is filed with the SEC.</w:t>
      </w:r>
    </w:p>
    <w:p>
      <w:pPr>
        <w:spacing w:after="0" w:line="14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Our net loss for the year ended December 31, 2020 was $227.3 million, or $2.50 per share, compared to a net loss of $204.7 million, or $2.50 per share, for the same period in 2019.</w:t>
      </w:r>
    </w:p>
    <w:p>
      <w:pPr>
        <w:spacing w:after="0" w:line="170" w:lineRule="exact"/>
        <w:rPr>
          <w:sz w:val="20"/>
          <w:szCs w:val="20"/>
          <w:color w:val="auto"/>
        </w:rPr>
      </w:pPr>
    </w:p>
    <w:p>
      <w:pPr>
        <w:ind w:right="400" w:firstLine="589"/>
        <w:spacing w:after="0" w:line="263" w:lineRule="auto"/>
        <w:rPr>
          <w:sz w:val="20"/>
          <w:szCs w:val="20"/>
          <w:color w:val="auto"/>
        </w:rPr>
      </w:pPr>
      <w:r>
        <w:rPr>
          <w:rFonts w:ascii="Arial" w:cs="Arial" w:eastAsia="Arial" w:hAnsi="Arial"/>
          <w:sz w:val="18"/>
          <w:szCs w:val="18"/>
          <w:color w:val="auto"/>
        </w:rPr>
        <w:t>Our net cash used for operating activities for the year ended December 31, 2020 was $184.8 million, compared to $124.6 million for the same period in 2019. The increase in net cash used for operating activities was primarily due to changes in working capital associated with the ongoing commercialization of CINVANTI and an increase in net loss.</w:t>
      </w:r>
    </w:p>
    <w:p>
      <w:pPr>
        <w:spacing w:after="0" w:line="184"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Our net cash provided by investing activities for the year ended December 31, 2020 was $209.0 million, compared to net cash used for investing activities of $21.8 million for the same period in 2019. The increase in cash provided by investing activities was primarily due to an increase in net maturities of short-term investments of $215.8 million for the year ended December 31, 2020, compared to net purchases of short-term investments of $14.6 million for the year ended December 31, 2019.</w:t>
      </w:r>
    </w:p>
    <w:p>
      <w:pPr>
        <w:spacing w:after="0" w:line="7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Our net cash provided by financing activities for the year ended December 31, 2020 was $9.1 million, compared to $186.4 million for the same period in 2019. The decrease in cash provided by financing activities was due primarily to net proceeds received from a public offering of our common stock of $162.2 million for the year ended December 31, 2019. The decrease was also due to a decrease in proceeds received from stock option exercises of $6.8 million for the year ended December 31, 2020, compared to $22.2 million for the year ended December 31, 2019.</w:t>
      </w:r>
    </w:p>
    <w:p>
      <w:pPr>
        <w:spacing w:after="0" w:line="63"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Historically, we have financed our operations, including technology and product research and development, primarily through sales of our common stock and debt financings.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December 31, 2020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6"/>
          </w:tcPr>
          <w:p>
            <w:pPr>
              <w:jc w:val="right"/>
              <w:ind w:right="47"/>
              <w:spacing w:after="0"/>
              <w:rPr>
                <w:sz w:val="20"/>
                <w:szCs w:val="20"/>
                <w:color w:val="auto"/>
              </w:rPr>
            </w:pPr>
            <w:r>
              <w:rPr>
                <w:rFonts w:ascii="Arial" w:cs="Arial" w:eastAsia="Arial" w:hAnsi="Arial"/>
                <w:sz w:val="14"/>
                <w:szCs w:val="14"/>
                <w:b w:val="1"/>
                <w:bCs w:val="1"/>
                <w:color w:val="auto"/>
                <w:w w:val="90"/>
              </w:rPr>
              <w:t>Payments due by period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7"/>
              </w:rPr>
              <w:t>Less than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More than</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1–3 years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5 years</w:t>
            </w:r>
          </w:p>
        </w:tc>
      </w:tr>
      <w:tr>
        <w:trPr>
          <w:trHeight w:val="26"/>
        </w:trPr>
        <w:tc>
          <w:tcPr>
            <w:tcW w:w="52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84,039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109,652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As of December 31, 2020, we had an operating lease for 73,328 square feet of laboratory and office space in San Diego, California, with a lease term that expires on December 31, 2025. We have one 5-year option to renew this lease on expiration. For the year ended December 31, 2020, rent expense was $3.9 million.</w:t>
      </w:r>
    </w:p>
    <w:p>
      <w:pPr>
        <w:spacing w:after="0" w:line="184"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At December 31, 2020, capital expenditures consisted of non-cancellable commitments for equipment related to scale-up activities at our third-party manufacturers. Total capital expenditures of $3.1 million were not included in our consolidated financial statements for the year ended December 31, 2020. We intend to use our current financial resources to fund our commitments under the capital expenditure obligations.</w:t>
      </w:r>
    </w:p>
    <w:p>
      <w:pPr>
        <w:spacing w:after="0" w:line="165"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At December 31, 2020, purchase obligations primarily consisted of non-cancellable commitments with third-party manufacturers in connection with the manufacturing of HTX-011, CINVANTI and SUSTOL, as well as commitments with various vendors for sales and marketing support. Total purchase obligations of $43.9 million were not included in our consolidated financial statements for the year ended December 31, 2020. We intend to use our current financial resources to fund our commitments under these purchase obligations.</w:t>
      </w:r>
    </w:p>
    <w:p>
      <w:pPr>
        <w:spacing w:after="0" w:line="18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holders of the Convertible Notes may also require prepayment of such notes at any time at each holder’s option (see Notes to Consolidated Financial Statements included in this Annual Report on Form 10-K). As of December 31, 2020, $7.6 million aggregate principal amount of the Convertible Notes were outstanding.</w:t>
      </w:r>
    </w:p>
    <w:p>
      <w:pPr>
        <w:spacing w:after="0" w:line="184"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enter into agreements with clinical sites and clinical research organizations for the conduct of our clinical trials and contract manufacturing organizations for the manufacture and supply of preclinical, clinical and commercial materials and drug product. We make payments to these clinical sites and clinical research organizations based in part on the number of eligible patients enrolled and the length of their participation in the clinical trials. In some of our agreements with contract manufacturing organizations, we are required to meet minimum purchase obligations. Under certain of these agreements, we may be subject to penalties in the event that we prematurely terminate these agreements. At this time, due to the variability associated with clinical site agreements, contract research organization agreements and contract manufacturing agreements, we are unable to estimate with certainty the future costs we will incur. We intend to use our current financial resources to fund our obligations under these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involved in any “off–balance sheet arrangements” within the meaning of the rules of the SEC.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primary objective of our investment activities is to preserve our capital to fund operations. Our exposure to market risk for changes in interest rates relates primarily to the increase or decrease in the amount of interest income we can earn on our investment portfolio. Our risk associated with fluctuating interest income is limited to our investments in interest rate-sensitive financial instruments. Under our current policies, we do not use interest rate derivative instruments to manage this exposure to interest rate changes. We mitigate default risk by investing in short-term investment grade securities, such as treasury-backed money market funds, U.S. treasury and agency securities, corporate debt securities and commercial paper. As a result of the generally short-term nature of our investments, a 50-basis point movement in market interest rates would not have a material impact on the fair value of our portfolio as of December 31, 2020 and 2019. While changes in our interest rates may affect the fair value of our investment portfolio, any gains or losses are not recognized in our consolidated statements of operations and comprehensive loss until the investment is sold or if a reduction in fair value is determined to be a permanent impairment. Our debt obligations on our Convertible Notes carry a fixed interest rate and, as a result, we are not exposed to interest rate risk on our convertible debt. We seek to ensure the safety and preservation of our invested principal by limiting default risk, market risk and reinvestment risk. We do not have any material foreign currency obligations or other derivative financial instruments.</w:t>
      </w:r>
    </w:p>
    <w:p>
      <w:pPr>
        <w:spacing w:after="0" w:line="16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Heron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Heron Therapeutics, Inc. (the “Company”) as of December 31, 2020 and 2019, the related consolidated statements of operations and comprehensive loss,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24,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Principles</w:t>
      </w:r>
    </w:p>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 xml:space="preserve">As discussed in Note 6 to the consolidated financial statements, the Company has changed its method of accounting for leases in 2019 due to the adoption of Financial Accounting Standards Board (United States) Accounting Standard Codification Topic No. 842, </w:t>
      </w:r>
      <w:r>
        <w:rPr>
          <w:rFonts w:ascii="Arial" w:cs="Arial" w:eastAsia="Arial" w:hAnsi="Arial"/>
          <w:sz w:val="18"/>
          <w:szCs w:val="18"/>
          <w:i w:val="1"/>
          <w:iCs w:val="1"/>
          <w:color w:val="auto"/>
        </w:rPr>
        <w:t>Leases.</w:t>
      </w:r>
    </w:p>
    <w:p>
      <w:pPr>
        <w:spacing w:after="0" w:line="170"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 xml:space="preserve">As discussed in Note 5 to the consolidated financial statements, the Company has changed its method of accounting for revenue in 2018 due to the adoption of Financial Accounting Standards Board (United States) Accounting Standard Codification Topic No.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Contracts with Customers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the Matter—Product Returns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Note 5 to the consolidated financial statements, the Company earns its revenue through the sale of its products, CINVANTI and SUSTOL, to specialty distributors. Such revenue totaled $88.6 million for the year ended December 31, 2020. The amount of revenue recognized is net of product sales allowances for product returns, distributor fees, group purchase organization fees, discounts and rebates, and Medicare rebates, which totaled $119.1 million for the year ended December 31, 2020. The allowances are recorded in the same period that the related revenue is recognized and create variability for consideration that the Company expects to receive. Management’s estimated allowance for product returns requires a high degree of judgment and is subject to change based on various quantitative and qualitative factors. Accordingly, extensive audit effort and a high degree of auditor judgment were needed to evaluate management’s estimates and assumptions used in the determination of product returns.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tested the effectiveness of internal control over financial reporting that relate to the Company’s processes for estimating product returns.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evaluated the significant accounting policies relating to product returns, as well as management’s application of the policies, for appropriateness and reasonableness.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selected a sample of customer transactions and performed the following procedures for each selection:</w:t>
      </w:r>
    </w:p>
    <w:p>
      <w:pPr>
        <w:spacing w:after="0" w:line="198" w:lineRule="exact"/>
        <w:rPr>
          <w:sz w:val="20"/>
          <w:szCs w:val="20"/>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Obtained and read contract source documents and management’s contract analyses.</w:t>
      </w:r>
    </w:p>
    <w:p>
      <w:pPr>
        <w:spacing w:after="0" w:line="211"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whether the selected estimates were applied consistently across similar arrangements.</w:t>
      </w:r>
    </w:p>
    <w:p>
      <w:pPr>
        <w:spacing w:after="0" w:line="211"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Tested the reasonableness of management’s assumptions by comparing them to historical data, peer group information, and, where available, subsequent product returns.</w:t>
      </w:r>
    </w:p>
    <w:p>
      <w:pPr>
        <w:spacing w:after="0" w:line="129"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management used actual shipments and returns to estimate product returns, we tested the third-party reports used by management for completeness and accuracy.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tested the mathematical accuracy of management’s calculation of revenue, net of product sales allowances, including product returns, and the associated timing of revenue recognition,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par value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71,898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103,353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319,074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24,968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314,196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479,064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Right-of-use lease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13,754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353,556</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clinical and manufacturing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34,614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employee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lease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Convertible notes payable to related parties, net of discount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96,705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lease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117,064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$0.01 par value: 2,500 shares authorized; no shares issued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or outstanding at December 31, 2020 and 2019</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150,000 shares authorized; 91,310</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90,304 shares issued and outstanding at December 31, 2020</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2019,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1,628,070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1,568,317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(1,392,748)</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(1,165,470)</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236,492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88,638</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145,968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Cost of product sales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89,764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316,801</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356,662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(228,163)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(210,694)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Other income, net: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1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(227,278)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(204,749)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short-term investments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(227,106)</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(204,577)</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1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16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(Loss) Income</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December 31, 2017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913,955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(783,455)</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Cumulative effect of adoption of new accounting</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standard</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in public offerings, net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363,008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Conversion benefit included in Convertible Notes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issued</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Employee Stock</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Issuance of common stock on exercise of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1,530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(178,840)</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(178,840)</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unrealized loss on short-term investments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(178,917)</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December 31, 2018</w:t>
            </w: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78,174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1,330,186</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(960,721)</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Issuance of common stock in public offerings, net</w:t>
            </w:r>
          </w:p>
        </w:tc>
        <w:tc>
          <w:tcPr>
            <w:tcW w:w="860" w:type="dxa"/>
            <w:vAlign w:val="bottom"/>
          </w:tcPr>
          <w:p>
            <w:pPr>
              <w:jc w:val="right"/>
              <w:spacing w:after="0"/>
              <w:rPr>
                <w:sz w:val="20"/>
                <w:szCs w:val="20"/>
                <w:color w:val="auto"/>
              </w:rPr>
            </w:pPr>
            <w:r>
              <w:rPr>
                <w:rFonts w:ascii="Arial" w:cs="Arial" w:eastAsia="Arial" w:hAnsi="Arial"/>
                <w:sz w:val="16"/>
                <w:szCs w:val="16"/>
                <w:color w:val="auto"/>
              </w:rPr>
              <w:t>9,857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162,052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Conversion benefit included in Convertible Notes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issued</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Issuance of common stock under Employee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86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on exercise of stock</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22,144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Issuance of common stock on exercise of warrants</w:t>
            </w:r>
          </w:p>
        </w:tc>
        <w:tc>
          <w:tcPr>
            <w:tcW w:w="86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on conversion of</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Convertible Notes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51,411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(204,749)</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(204,749)</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unrealized gain on short-term investments</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(204,577)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90,304</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1,568,317</w:t>
            </w:r>
          </w:p>
        </w:tc>
        <w:tc>
          <w:tcPr>
            <w:tcW w:w="3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(1,165,470)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403,835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Conversion benefit included in Convertible Notes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issued</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Issuance of common stock under Employee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86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on exercise of stock</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Issuance of common stock on exercise of warrants</w:t>
            </w:r>
          </w:p>
        </w:tc>
        <w:tc>
          <w:tcPr>
            <w:tcW w:w="86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on conversion of</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Convertible Notes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50,218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(227,278)</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(227,278)</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unrealized gain on short-term investments</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(227,106)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2020</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91,310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1,628,070</w:t>
            </w:r>
          </w:p>
        </w:tc>
        <w:tc>
          <w:tcPr>
            <w:tcW w:w="3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(1,392,748)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236,492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HERON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4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(227,278)</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(204,749)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(178,840)</w:t>
            </w:r>
          </w:p>
        </w:tc>
      </w:tr>
      <w:tr>
        <w:trPr>
          <w:trHeight w:val="215"/>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for operating</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33,367</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r>
      <w:tr>
        <w:trPr>
          <w:trHeight w:val="215"/>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premium (accretion of discount) on short-term</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investments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(3,730)</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(3,412)</w:t>
            </w:r>
          </w:p>
        </w:tc>
      </w:tr>
      <w:tr>
        <w:trPr>
          <w:trHeight w:val="229"/>
        </w:trPr>
        <w:tc>
          <w:tcPr>
            <w:tcW w:w="5740" w:type="dxa"/>
            <w:vAlign w:val="bottom"/>
          </w:tcPr>
          <w:p>
            <w:pPr>
              <w:ind w:left="260"/>
              <w:spacing w:after="0"/>
              <w:rPr>
                <w:sz w:val="20"/>
                <w:szCs w:val="20"/>
                <w:color w:val="auto"/>
              </w:rPr>
            </w:pPr>
            <w:r>
              <w:rPr>
                <w:rFonts w:ascii="Arial" w:cs="Arial" w:eastAsia="Arial" w:hAnsi="Arial"/>
                <w:sz w:val="18"/>
                <w:szCs w:val="18"/>
                <w:color w:val="auto"/>
              </w:rPr>
              <w:t>Realized gain on available-for-sale investments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property and equipment</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(22,778)</w:t>
            </w:r>
          </w:p>
        </w:tc>
      </w:tr>
      <w:tr>
        <w:trPr>
          <w:trHeight w:val="229"/>
        </w:trPr>
        <w:tc>
          <w:tcPr>
            <w:tcW w:w="5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(29,122)</w:t>
            </w:r>
          </w:p>
        </w:tc>
      </w:tr>
      <w:tr>
        <w:trPr>
          <w:trHeight w:val="230"/>
        </w:trPr>
        <w:tc>
          <w:tcPr>
            <w:tcW w:w="57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(12,052)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(7,482)</w:t>
            </w:r>
          </w:p>
        </w:tc>
      </w:tr>
      <w:tr>
        <w:trPr>
          <w:trHeight w:val="229"/>
        </w:trPr>
        <w:tc>
          <w:tcPr>
            <w:tcW w:w="5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(14,105)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(1,906)</w:t>
            </w:r>
          </w:p>
        </w:tc>
      </w:tr>
      <w:tr>
        <w:trPr>
          <w:trHeight w:val="229"/>
        </w:trPr>
        <w:tc>
          <w:tcPr>
            <w:tcW w:w="5740" w:type="dxa"/>
            <w:vAlign w:val="bottom"/>
          </w:tcPr>
          <w:p>
            <w:pPr>
              <w:ind w:left="500"/>
              <w:spacing w:after="0"/>
              <w:rPr>
                <w:sz w:val="20"/>
                <w:szCs w:val="20"/>
                <w:color w:val="auto"/>
              </w:rPr>
            </w:pPr>
            <w:r>
              <w:rPr>
                <w:rFonts w:ascii="Arial" w:cs="Arial" w:eastAsia="Arial" w:hAnsi="Arial"/>
                <w:sz w:val="18"/>
                <w:szCs w:val="18"/>
                <w:color w:val="auto"/>
              </w:rPr>
              <w:t>Accrued clinical and manufacturing liabilities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(3,614)</w:t>
            </w:r>
          </w:p>
        </w:tc>
      </w:tr>
      <w:tr>
        <w:trPr>
          <w:trHeight w:val="230"/>
        </w:trPr>
        <w:tc>
          <w:tcPr>
            <w:tcW w:w="5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payroll and employee liabilities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500"/>
              <w:spacing w:after="0"/>
              <w:rPr>
                <w:sz w:val="20"/>
                <w:szCs w:val="20"/>
                <w:color w:val="auto"/>
              </w:rPr>
            </w:pPr>
            <w:r>
              <w:rPr>
                <w:rFonts w:ascii="Arial" w:cs="Arial" w:eastAsia="Arial" w:hAnsi="Arial"/>
                <w:sz w:val="18"/>
                <w:szCs w:val="18"/>
                <w:color w:val="auto"/>
              </w:rPr>
              <w:t>Other accrued liabilities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19"/>
                <w:szCs w:val="19"/>
                <w:color w:val="auto"/>
              </w:rPr>
            </w:pPr>
          </w:p>
        </w:tc>
      </w:tr>
      <w:tr>
        <w:trPr>
          <w:trHeight w:val="223"/>
        </w:trPr>
        <w:tc>
          <w:tcPr>
            <w:tcW w:w="57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for operating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(184,820)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short-term investments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(134,007)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(477,035)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(497,104)</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Maturities and sales of short-term investments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349,775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462,406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227,700</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(6,813)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(7,154)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(9,171)</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3"/>
        </w:trPr>
        <w:tc>
          <w:tcPr>
            <w:tcW w:w="57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for) investing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208,955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sale of common stock and/or pre-funded</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162,151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363,128</w:t>
            </w:r>
          </w:p>
        </w:tc>
        <w:tc>
          <w:tcPr>
            <w:tcW w:w="100" w:type="dxa"/>
            <w:vAlign w:val="bottom"/>
            <w:shd w:val="clear" w:color="auto" w:fill="CFF0FC"/>
          </w:tcPr>
          <w:p>
            <w:pPr>
              <w:spacing w:after="0"/>
              <w:rPr>
                <w:sz w:val="20"/>
                <w:szCs w:val="20"/>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Proceeds from purchases under the Employee Stock Purchase Plan</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stock option exercises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18,301</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Proceeds from conversion of convertible notes payable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warrant exercises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Repayment of promissory note payable to related party</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23"/>
        </w:trPr>
        <w:tc>
          <w:tcPr>
            <w:tcW w:w="57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186,425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357,608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33,240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(112,747)</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144,583</w:t>
            </w:r>
          </w:p>
        </w:tc>
        <w:tc>
          <w:tcPr>
            <w:tcW w:w="100" w:type="dxa"/>
            <w:vAlign w:val="bottom"/>
            <w:shd w:val="clear" w:color="auto" w:fill="CFF0FC"/>
          </w:tcPr>
          <w:p>
            <w:pPr>
              <w:spacing w:after="0"/>
              <w:rPr>
                <w:sz w:val="19"/>
                <w:szCs w:val="19"/>
                <w:color w:val="auto"/>
              </w:rPr>
            </w:pPr>
          </w:p>
        </w:tc>
      </w:tr>
      <w:tr>
        <w:trPr>
          <w:trHeight w:val="26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year</w:t>
            </w:r>
          </w:p>
        </w:tc>
        <w:tc>
          <w:tcPr>
            <w:tcW w:w="9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105,138</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71,898</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31,836</w:t>
            </w:r>
          </w:p>
        </w:tc>
        <w:tc>
          <w:tcPr>
            <w:tcW w:w="100" w:type="dxa"/>
            <w:vAlign w:val="bottom"/>
            <w:tcBorders>
              <w:bottom w:val="single" w:sz="8" w:color="CFF0FC"/>
            </w:tcBorders>
          </w:tcPr>
          <w:p>
            <w:pPr>
              <w:spacing w:after="0"/>
              <w:rPr>
                <w:sz w:val="22"/>
                <w:szCs w:val="22"/>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paid</w:t>
            </w:r>
          </w:p>
        </w:tc>
        <w:tc>
          <w:tcPr>
            <w:tcW w:w="9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FF0FC"/>
            </w:tcBorders>
          </w:tcPr>
          <w:p>
            <w:pPr>
              <w:spacing w:after="0"/>
              <w:rPr>
                <w:sz w:val="23"/>
                <w:szCs w:val="23"/>
                <w:color w:val="auto"/>
              </w:rPr>
            </w:pPr>
          </w:p>
        </w:tc>
      </w:tr>
      <w:tr>
        <w:trPr>
          <w:trHeight w:val="210"/>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effect of adoption of new accounting standard</w:t>
            </w:r>
          </w:p>
        </w:tc>
        <w:tc>
          <w:tcPr>
            <w:tcW w:w="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HERON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Heron Therapeutics, Inc. (“Company,” “Heron” or “we”) is a commercial-stage biotechnology company focused on improving the lives of patients by developing best-in-class treatments to address some of the most important unmet patient needs. We are developing novel, patient-focused solutions that apply our innovative science and technologies to already-approved pharmacological agents for patients suffering from pain or cancer.</w:t>
      </w:r>
    </w:p>
    <w:p>
      <w:pPr>
        <w:spacing w:after="0" w:line="149"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In August 2016, our first commercial product, SUSTOL</w:t>
      </w:r>
      <w:r>
        <w:rPr>
          <w:rFonts w:ascii="Arial" w:cs="Arial" w:eastAsia="Arial" w:hAnsi="Arial"/>
          <w:sz w:val="15"/>
          <w:szCs w:val="15"/>
          <w:color w:val="auto"/>
        </w:rPr>
        <w:t>®</w:t>
      </w:r>
      <w:r>
        <w:rPr>
          <w:rFonts w:ascii="Arial" w:cs="Arial" w:eastAsia="Arial" w:hAnsi="Arial"/>
          <w:sz w:val="18"/>
          <w:szCs w:val="18"/>
          <w:color w:val="auto"/>
        </w:rPr>
        <w:t xml:space="preserve"> (granisetron) extended-release injection (“SUSTOL”), was approved by the U.S. Food and Drug Administration (“FDA”). 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(“5-HT</w:t>
      </w:r>
      <w:r>
        <w:rPr>
          <w:rFonts w:ascii="Arial" w:cs="Arial" w:eastAsia="Arial" w:hAnsi="Arial"/>
          <w:sz w:val="15"/>
          <w:szCs w:val="15"/>
          <w:color w:val="auto"/>
        </w:rPr>
        <w:t>3</w:t>
      </w:r>
      <w:r>
        <w:rPr>
          <w:rFonts w:ascii="Arial" w:cs="Arial" w:eastAsia="Arial" w:hAnsi="Arial"/>
          <w:sz w:val="18"/>
          <w:szCs w:val="18"/>
          <w:color w:val="auto"/>
        </w:rPr>
        <w:t>”) receptor antagonist that utilizes our proprietary Biochronomer</w:t>
      </w:r>
      <w:r>
        <w:rPr>
          <w:rFonts w:ascii="Arial" w:cs="Arial" w:eastAsia="Arial" w:hAnsi="Arial"/>
          <w:sz w:val="15"/>
          <w:szCs w:val="15"/>
          <w:color w:val="auto"/>
        </w:rPr>
        <w:t>®</w:t>
      </w:r>
      <w:r>
        <w:rPr>
          <w:rFonts w:ascii="Arial" w:cs="Arial" w:eastAsia="Arial" w:hAnsi="Arial"/>
          <w:sz w:val="18"/>
          <w:szCs w:val="18"/>
          <w:color w:val="auto"/>
        </w:rPr>
        <w:t xml:space="preserve"> drug delivery technology to maintain therapeutic levels of granisetron for ≥5 days. We commenced commercial sales of SUSTOL in the U.S. in October 2016.</w:t>
      </w:r>
    </w:p>
    <w:p>
      <w:pPr>
        <w:spacing w:after="0" w:line="19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November 2017, our second commercial product, CINVANTI</w:t>
      </w:r>
      <w:r>
        <w:rPr>
          <w:rFonts w:ascii="Arial" w:cs="Arial" w:eastAsia="Arial" w:hAnsi="Arial"/>
          <w:sz w:val="14"/>
          <w:szCs w:val="14"/>
          <w:color w:val="auto"/>
        </w:rPr>
        <w:t>®</w:t>
      </w:r>
      <w:r>
        <w:rPr>
          <w:rFonts w:ascii="Arial" w:cs="Arial" w:eastAsia="Arial" w:hAnsi="Arial"/>
          <w:sz w:val="17"/>
          <w:szCs w:val="17"/>
          <w:color w:val="auto"/>
        </w:rPr>
        <w:t xml:space="preserve"> (aprepitant) injectable emulsion (“CINVANTI”) was approved by the FDA. </w:t>
      </w:r>
      <w:r>
        <w:rPr>
          <w:rFonts w:ascii="Arial" w:cs="Arial" w:eastAsia="Arial" w:hAnsi="Arial"/>
          <w:sz w:val="17"/>
          <w:szCs w:val="17"/>
          <w:color w:val="1E1E1E"/>
        </w:rPr>
        <w:t>In</w:t>
      </w:r>
      <w:r>
        <w:rPr>
          <w:rFonts w:ascii="Arial" w:cs="Arial" w:eastAsia="Arial" w:hAnsi="Arial"/>
          <w:sz w:val="17"/>
          <w:szCs w:val="17"/>
          <w:color w:val="auto"/>
        </w:rPr>
        <w:t xml:space="preserve"> </w:t>
      </w:r>
      <w:r>
        <w:rPr>
          <w:rFonts w:ascii="Arial" w:cs="Arial" w:eastAsia="Arial" w:hAnsi="Arial"/>
          <w:sz w:val="17"/>
          <w:szCs w:val="17"/>
          <w:color w:val="1E1E1E"/>
        </w:rPr>
        <w:t xml:space="preserve">October 2019, the FDA approved our supplemental New Drug Application (“sNDA”) for CINVANTI to expand the indication and recommended dosage to include the 130 mg single-dose regimen for patients receiving </w:t>
      </w:r>
      <w:r>
        <w:rPr>
          <w:rFonts w:ascii="Arial" w:cs="Arial" w:eastAsia="Arial" w:hAnsi="Arial"/>
          <w:sz w:val="17"/>
          <w:szCs w:val="17"/>
          <w:color w:val="000000"/>
        </w:rPr>
        <w:t>moderately emetogenic cancer chemotherapy</w:t>
      </w:r>
      <w:r>
        <w:rPr>
          <w:rFonts w:ascii="Arial" w:cs="Arial" w:eastAsia="Arial" w:hAnsi="Arial"/>
          <w:sz w:val="17"/>
          <w:szCs w:val="17"/>
          <w:color w:val="1E1E1E"/>
        </w:rPr>
        <w:t xml:space="preserve"> (“MEC”). </w:t>
      </w:r>
      <w:r>
        <w:rPr>
          <w:rFonts w:ascii="Arial" w:cs="Arial" w:eastAsia="Arial" w:hAnsi="Arial"/>
          <w:sz w:val="17"/>
          <w:szCs w:val="17"/>
          <w:color w:val="000000"/>
        </w:rPr>
        <w:t>CINVANTI, in combination with</w:t>
      </w:r>
      <w:r>
        <w:rPr>
          <w:rFonts w:ascii="Arial" w:cs="Arial" w:eastAsia="Arial" w:hAnsi="Arial"/>
          <w:sz w:val="17"/>
          <w:szCs w:val="17"/>
          <w:color w:val="1E1E1E"/>
        </w:rPr>
        <w:t xml:space="preserve"> </w:t>
      </w:r>
      <w:r>
        <w:rPr>
          <w:rFonts w:ascii="Arial" w:cs="Arial" w:eastAsia="Arial" w:hAnsi="Arial"/>
          <w:sz w:val="17"/>
          <w:szCs w:val="17"/>
          <w:color w:val="000000"/>
        </w:rPr>
        <w:t>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intravenous (“IV”) formulation of aprepitant, a substance P/neurokinin-1 (“NK</w:t>
      </w:r>
      <w:r>
        <w:rPr>
          <w:rFonts w:ascii="Arial" w:cs="Arial" w:eastAsia="Arial" w:hAnsi="Arial"/>
          <w:sz w:val="14"/>
          <w:szCs w:val="14"/>
          <w:color w:val="000000"/>
        </w:rPr>
        <w:t>1</w:t>
      </w:r>
      <w:r>
        <w:rPr>
          <w:rFonts w:ascii="Arial" w:cs="Arial" w:eastAsia="Arial" w:hAnsi="Arial"/>
          <w:sz w:val="17"/>
          <w:szCs w:val="17"/>
          <w:color w:val="000000"/>
        </w:rPr>
        <w:t xml:space="preserve">”) receptor antagonist. We commenced commercial sales of CINVANTI in the U.S. in January 2018. In February 2019, the FDA </w:t>
      </w:r>
      <w:r>
        <w:rPr>
          <w:rFonts w:ascii="Arial" w:cs="Arial" w:eastAsia="Arial" w:hAnsi="Arial"/>
          <w:sz w:val="17"/>
          <w:szCs w:val="17"/>
          <w:color w:val="1E1E1E"/>
        </w:rPr>
        <w:t>approved our sNDA for CINVANTI,</w:t>
      </w:r>
      <w:r>
        <w:rPr>
          <w:rFonts w:ascii="Arial" w:cs="Arial" w:eastAsia="Arial" w:hAnsi="Arial"/>
          <w:sz w:val="17"/>
          <w:szCs w:val="17"/>
          <w:color w:val="000000"/>
        </w:rPr>
        <w:t xml:space="preserve"> </w:t>
      </w:r>
      <w:r>
        <w:rPr>
          <w:rFonts w:ascii="Arial" w:cs="Arial" w:eastAsia="Arial" w:hAnsi="Arial"/>
          <w:sz w:val="17"/>
          <w:szCs w:val="17"/>
          <w:color w:val="1E1E1E"/>
        </w:rPr>
        <w:t>for IV use, which expanded the administration of CINVANTI beyond the initially approved administration method (a 30-minute IV infusion) to include a 2-minute IV injection.</w:t>
      </w:r>
    </w:p>
    <w:p>
      <w:pPr>
        <w:spacing w:after="0" w:line="185"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HTX-019 is an investigational agent for the prevention of postoperative nausea and vomiting (“PONV”). HTX-019 is an IV injectable emulsion formulation designed to directly deliver aprepitant, the active ingredient in EMEND</w:t>
      </w:r>
      <w:r>
        <w:rPr>
          <w:rFonts w:ascii="Arial" w:cs="Arial" w:eastAsia="Arial" w:hAnsi="Arial"/>
          <w:sz w:val="15"/>
          <w:szCs w:val="15"/>
          <w:color w:val="auto"/>
        </w:rPr>
        <w:t>®</w:t>
      </w:r>
      <w:r>
        <w:rPr>
          <w:rFonts w:ascii="Arial" w:cs="Arial" w:eastAsia="Arial" w:hAnsi="Arial"/>
          <w:sz w:val="18"/>
          <w:szCs w:val="18"/>
          <w:color w:val="auto"/>
        </w:rPr>
        <w:t xml:space="preserve"> (aprepitant) capsules, which is the only NK</w:t>
      </w:r>
      <w:r>
        <w:rPr>
          <w:rFonts w:ascii="Arial" w:cs="Arial" w:eastAsia="Arial" w:hAnsi="Arial"/>
          <w:sz w:val="15"/>
          <w:szCs w:val="15"/>
          <w:color w:val="auto"/>
        </w:rPr>
        <w:t>1</w:t>
      </w:r>
      <w:r>
        <w:rPr>
          <w:rFonts w:ascii="Arial" w:cs="Arial" w:eastAsia="Arial" w:hAnsi="Arial"/>
          <w:sz w:val="18"/>
          <w:szCs w:val="18"/>
          <w:color w:val="auto"/>
        </w:rPr>
        <w:t xml:space="preserve"> receptor antagonist approved in the U.S. for the prevention of PONV in adults. The FDA-approved dose of oral EMEND is 40 mg for PONV, which is given within 3 hours prior to induction of anesthesia for surgery. An Investigational New Drug application for HTX-019 for PONV was approved by the FDA in late September 2020. In a Phase 1 clinical trial, 32 mg of HTX-019 as a 30-second IV injection was demonstrated to be bioequivalent to oral aprepitant 40 mg. An NDA for HTX-019 is planned in late 2021 for prevention of PONV in adults.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5" w:name="page86"/>
    <w:bookmarkEnd w:id="85"/>
    <w:p>
      <w:pPr>
        <w:ind w:right="100" w:firstLine="589"/>
        <w:spacing w:after="0" w:line="254" w:lineRule="auto"/>
        <w:rPr>
          <w:sz w:val="20"/>
          <w:szCs w:val="20"/>
          <w:color w:val="auto"/>
        </w:rPr>
      </w:pPr>
      <w:r>
        <w:rPr>
          <w:rFonts w:ascii="Arial" w:cs="Arial" w:eastAsia="Arial" w:hAnsi="Arial"/>
          <w:sz w:val="18"/>
          <w:szCs w:val="18"/>
          <w:color w:val="1E1E1E"/>
        </w:rPr>
        <w:t>In September 2020, our third approved product, ZYNRELEF</w:t>
      </w:r>
      <w:r>
        <w:rPr>
          <w:rFonts w:ascii="Arial" w:cs="Arial" w:eastAsia="Arial" w:hAnsi="Arial"/>
          <w:sz w:val="15"/>
          <w:szCs w:val="15"/>
          <w:color w:val="1E1E1E"/>
        </w:rPr>
        <w:t>™</w:t>
      </w:r>
      <w:r>
        <w:rPr>
          <w:rFonts w:ascii="Arial" w:cs="Arial" w:eastAsia="Arial" w:hAnsi="Arial"/>
          <w:sz w:val="18"/>
          <w:szCs w:val="18"/>
          <w:color w:val="1E1E1E"/>
        </w:rPr>
        <w:t xml:space="preserve"> (also known as HTX-011) was granted a marketing authorization by the European Commission (“EC”). ZYNRELEF is indicated for the treatment of somatic postoperative pain from small- to medium-sized surgical wounds in adults. ZYNRELEF, a </w:t>
      </w:r>
      <w:r>
        <w:rPr>
          <w:rFonts w:ascii="Arial" w:cs="Arial" w:eastAsia="Arial" w:hAnsi="Arial"/>
          <w:sz w:val="18"/>
          <w:szCs w:val="18"/>
          <w:color w:val="000000"/>
        </w:rPr>
        <w:t>non-opioid, is a dual-acting, fixed-dose combination of the local anesthetic bupivacaine with a low dose of the 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As we build large-scale manufacturing capacity to meet the anticipated commercial demand in the U.S. and the rest of the world, we are developing a coordinated global marketing strategy.</w:t>
      </w:r>
    </w:p>
    <w:p>
      <w:pPr>
        <w:spacing w:after="0" w:line="195" w:lineRule="exact"/>
        <w:rPr>
          <w:sz w:val="20"/>
          <w:szCs w:val="20"/>
          <w:color w:val="auto"/>
        </w:rPr>
      </w:pPr>
    </w:p>
    <w:p>
      <w:pPr>
        <w:ind w:right="80" w:firstLine="589"/>
        <w:spacing w:after="0" w:line="268" w:lineRule="auto"/>
        <w:rPr>
          <w:sz w:val="20"/>
          <w:szCs w:val="20"/>
          <w:color w:val="auto"/>
        </w:rPr>
      </w:pPr>
      <w:r>
        <w:rPr>
          <w:rFonts w:ascii="Arial" w:cs="Arial" w:eastAsia="Arial" w:hAnsi="Arial"/>
          <w:sz w:val="17"/>
          <w:szCs w:val="17"/>
          <w:color w:val="auto"/>
        </w:rPr>
        <w:t xml:space="preserve">HTX-011 (ZYNRELEF in Europe) is an investigational agent in the United States and Canada. The FDA granted Breakthrough Therapy designation to HTX-011 and the New Drug Application (“NDA”) received Priority Review designation. A Complete Response Letter (“CRL”) was received from the FDA regarding the NDA for HTX-011 in June 2020. The CRL stated that the FDA is unable to approve the NDA in its present form based on the need for additional non-clinical information. Based on the complete review of the NDA, the FDA did not identify any clinical safety or efficacy issues or chemistry, manufacturing and controls issues. There are four non-clinical issues in the CRL, none of which relate to any observed toxicity. Three relate to confirming exposure of excipients in preclinical reproductive toxicology studies, and the fourth relates to changing the manufacturing release specification of the allowable level of an impurity based on animal toxicology coverage. </w:t>
      </w:r>
      <w:r>
        <w:rPr>
          <w:rFonts w:ascii="Arial" w:cs="Arial" w:eastAsia="Arial" w:hAnsi="Arial"/>
          <w:sz w:val="17"/>
          <w:szCs w:val="17"/>
          <w:color w:val="1E1E1E"/>
        </w:rPr>
        <w:t>At the Type A End-of-Review meeting in</w:t>
      </w:r>
      <w:r>
        <w:rPr>
          <w:rFonts w:ascii="Arial" w:cs="Arial" w:eastAsia="Arial" w:hAnsi="Arial"/>
          <w:sz w:val="17"/>
          <w:szCs w:val="17"/>
          <w:color w:val="auto"/>
        </w:rPr>
        <w:t xml:space="preserve"> </w:t>
      </w:r>
      <w:r>
        <w:rPr>
          <w:rFonts w:ascii="Arial" w:cs="Arial" w:eastAsia="Arial" w:hAnsi="Arial"/>
          <w:sz w:val="17"/>
          <w:szCs w:val="17"/>
          <w:color w:val="1E1E1E"/>
        </w:rPr>
        <w:t xml:space="preserve">September 2020 (the “Type A Meeting”), the FDA agreed with the change to the manufacturing specification proposed by Heron to address the FDA’s concern and agreed with our proposal to bridge the clinical and nonclinical excipient exposure data to address the other 3 deficiencies. </w:t>
      </w:r>
      <w:r>
        <w:rPr>
          <w:rFonts w:ascii="Arial" w:cs="Arial" w:eastAsia="Arial" w:hAnsi="Arial"/>
          <w:sz w:val="17"/>
          <w:szCs w:val="17"/>
          <w:color w:val="000000"/>
        </w:rPr>
        <w:t>In November 2020,</w:t>
      </w:r>
      <w:r>
        <w:rPr>
          <w:rFonts w:ascii="Arial" w:cs="Arial" w:eastAsia="Arial" w:hAnsi="Arial"/>
          <w:sz w:val="17"/>
          <w:szCs w:val="17"/>
          <w:color w:val="1E1E1E"/>
        </w:rPr>
        <w:t xml:space="preserve"> </w:t>
      </w:r>
      <w:r>
        <w:rPr>
          <w:rFonts w:ascii="Arial" w:cs="Arial" w:eastAsia="Arial" w:hAnsi="Arial"/>
          <w:sz w:val="17"/>
          <w:szCs w:val="17"/>
          <w:color w:val="000000"/>
        </w:rPr>
        <w:t>we resubmitted the NDA to the FDA for HTX-011 based on the outcome and final minutes of the Type A Meeting. The Prescription Drug User Fee Act goal date is May 12, 2021. Our New Drug Submission for HTX-011 for the management of postoperative pain was accepted by Health Canada in November 2019. We are working to respond to a list of questions received from Health Canada in July 2020, and we anticipate up to a 300-day review period following our responsive submission.</w:t>
      </w:r>
    </w:p>
    <w:p>
      <w:pPr>
        <w:spacing w:after="0" w:line="186" w:lineRule="exact"/>
        <w:rPr>
          <w:sz w:val="20"/>
          <w:szCs w:val="20"/>
          <w:color w:val="auto"/>
        </w:rPr>
      </w:pPr>
    </w:p>
    <w:p>
      <w:pPr>
        <w:ind w:firstLine="589"/>
        <w:spacing w:after="0" w:line="217" w:lineRule="exact"/>
        <w:rPr>
          <w:sz w:val="20"/>
          <w:szCs w:val="20"/>
          <w:color w:val="auto"/>
        </w:rPr>
      </w:pPr>
      <w:r>
        <w:rPr>
          <w:rFonts w:ascii="Arial" w:cs="Arial" w:eastAsia="Arial" w:hAnsi="Arial"/>
          <w:sz w:val="17"/>
          <w:szCs w:val="17"/>
          <w:color w:val="1E1E1E"/>
        </w:rPr>
        <w:t xml:space="preserve">HTX-034, </w:t>
      </w:r>
      <w:r>
        <w:rPr>
          <w:rFonts w:ascii="Arial" w:cs="Arial" w:eastAsia="Arial" w:hAnsi="Arial"/>
          <w:sz w:val="17"/>
          <w:szCs w:val="17"/>
          <w:color w:val="000000"/>
        </w:rPr>
        <w:t>our next-generation product candidate for postoperative pain management, is</w:t>
      </w:r>
      <w:r>
        <w:rPr>
          <w:rFonts w:ascii="Arial" w:cs="Arial" w:eastAsia="Arial" w:hAnsi="Arial"/>
          <w:sz w:val="17"/>
          <w:szCs w:val="17"/>
          <w:color w:val="1E1E1E"/>
        </w:rPr>
        <w:t xml:space="preserve"> an investigational non-opioid, fixed-dose combination, extended</w:t>
      </w:r>
      <w:r>
        <w:rPr>
          <w:rFonts w:ascii="MS PGothic" w:cs="MS PGothic" w:eastAsia="MS PGothic" w:hAnsi="MS PGothic"/>
          <w:sz w:val="17"/>
          <w:szCs w:val="17"/>
          <w:color w:val="1E1E1E"/>
        </w:rPr>
        <w:t>‑</w:t>
      </w:r>
      <w:r>
        <w:rPr>
          <w:rFonts w:ascii="Arial" w:cs="Arial" w:eastAsia="Arial" w:hAnsi="Arial"/>
          <w:sz w:val="17"/>
          <w:szCs w:val="17"/>
          <w:color w:val="1E1E1E"/>
        </w:rPr>
        <w:t xml:space="preserve">release solution of the local anesthetic bupivacaine, the nonsteroidal anti-inflammatory drug meloxicam and an additional agent that further potentiates the activity of bupivacaine. HTX-034 is formulated in the same proprietary polymer as HTX-011 </w:t>
      </w:r>
      <w:r>
        <w:rPr>
          <w:rFonts w:ascii="Arial" w:cs="Arial" w:eastAsia="Arial" w:hAnsi="Arial"/>
          <w:sz w:val="17"/>
          <w:szCs w:val="17"/>
          <w:color w:val="000000"/>
        </w:rPr>
        <w:t>(ZYNRELEF in the Europe)</w:t>
      </w:r>
      <w:r>
        <w:rPr>
          <w:rFonts w:ascii="Arial" w:cs="Arial" w:eastAsia="Arial" w:hAnsi="Arial"/>
          <w:sz w:val="17"/>
          <w:szCs w:val="17"/>
          <w:color w:val="1E1E1E"/>
        </w:rPr>
        <w:t xml:space="preserve">.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 </w:t>
      </w:r>
      <w:r>
        <w:rPr>
          <w:rFonts w:ascii="Arial" w:cs="Arial" w:eastAsia="Arial" w:hAnsi="Arial"/>
          <w:sz w:val="17"/>
          <w:szCs w:val="17"/>
          <w:color w:val="000000"/>
        </w:rPr>
        <w:t>In May 2020, we</w:t>
      </w:r>
      <w:r>
        <w:rPr>
          <w:rFonts w:ascii="Arial" w:cs="Arial" w:eastAsia="Arial" w:hAnsi="Arial"/>
          <w:sz w:val="17"/>
          <w:szCs w:val="17"/>
          <w:color w:val="1E1E1E"/>
        </w:rPr>
        <w:t xml:space="preserve"> </w:t>
      </w:r>
      <w:r>
        <w:rPr>
          <w:rFonts w:ascii="Arial" w:cs="Arial" w:eastAsia="Arial" w:hAnsi="Arial"/>
          <w:sz w:val="17"/>
          <w:szCs w:val="17"/>
          <w:color w:val="000000"/>
        </w:rPr>
        <w:t xml:space="preserve">initiated a Phase 1b/2 clinical study in patients undergoing bunionectomy of HTX-034. </w:t>
      </w:r>
      <w:r>
        <w:rPr>
          <w:rFonts w:ascii="Arial" w:cs="Arial" w:eastAsia="Arial" w:hAnsi="Arial"/>
          <w:sz w:val="17"/>
          <w:szCs w:val="17"/>
          <w:color w:val="1E1E1E"/>
        </w:rPr>
        <w:t>In the Phase 1b portion of this Phase 1b/2 double-blind,</w:t>
      </w:r>
      <w:r>
        <w:rPr>
          <w:rFonts w:ascii="Arial" w:cs="Arial" w:eastAsia="Arial" w:hAnsi="Arial"/>
          <w:sz w:val="17"/>
          <w:szCs w:val="17"/>
          <w:color w:val="000000"/>
        </w:rPr>
        <w:t xml:space="preserve"> </w:t>
      </w:r>
      <w:r>
        <w:rPr>
          <w:rFonts w:ascii="Arial" w:cs="Arial" w:eastAsia="Arial" w:hAnsi="Arial"/>
          <w:sz w:val="17"/>
          <w:szCs w:val="17"/>
          <w:color w:val="1E1E1E"/>
        </w:rPr>
        <w:t>randomized, active-controlled, dose-escalation study in 33 patients undergoing bunionectomy, the reduction in pain intensity observed was greater with the lowest dose of HTX-034 evaluated (containing 21.7 mg of bupivacaine plus meloxicam and aprepitant) than with the bupivacaine 50 mg solution through 96 hours. In addition, 45.5% of HTX-034 patients remained opioid-free through Day 15 with median opioid consumption of 2.5 milligram morphine equivalents (same as one 5 mg oxycodone pill) through 72-hours, a 71% reduction compared to bupivacaine solution. We expect to initiate the expanded Phase 2 portion of the study for HTX-034 in the first quarter of 2021.</w:t>
      </w:r>
    </w:p>
    <w:p>
      <w:pPr>
        <w:spacing w:after="0" w:line="209"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As of December 31, 2020, we had $208.5 million in cash, cash equivalents and short-term investments. We have incurred significant operating losses and negative cash flows from operations. Management believes that the Company’s existing cash, cash equivalents and short-term investments will be sufficient to meet the Company’s anticipated cash requirements for at least one year from the date this Annual Report on Form 10-K is filed with the U.S. Securities and Exchange Commission (“SEC”).</w:t>
      </w:r>
    </w:p>
    <w:p>
      <w:pPr>
        <w:spacing w:after="0" w:line="183"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Heron Therapeutics, Inc. and its wholly-owned subsidiary, Heron Therapeutics B.V., which was organized in the Netherlands in March 2015. Heron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Therapeutics B.V. has no operations and no material assets or liabilities, and there have been no significant transactions related to Heron Therapeutics B.V.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its inception.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(“GAAP”) requires management to make estimates and assumptions that affect the amounts reported in the financial statements and disclosures made in the accompanying notes to the financial statements. Our significant accounting policies that involve significant judgment and estimates include revenue recognition, investments, inventory and the related reserves, accrued clinical liabilities, income taxes and stock-based compensation. Actual results could differ materially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17"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contractual maturities of three months or less from the original purchase date.</w:t>
      </w:r>
    </w:p>
    <w:p>
      <w:pPr>
        <w:spacing w:after="0" w:line="170"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Short-term investments consist of securities with contractual maturities of greater than three months from the original purchase date. Securities with contractual maturities greater than one year are classified as short-term investments on the consolidated balance sheets, as we have the ability, if necessary, to liquidate these securities to meet our liquidity needs in the next 12 months. We have classified our short-term investments as available-for-sale securities in the accompanying consolidated financial statements. Available-for-sale securities are stated at fair market value, with net changes in unrealized gains and losses reported in other comprehensive loss and realized gains and losses included in other income (expense), net. The cost of securities sold is based on the specific identification method. Interest and dividends on securities classified as available-for-sale are included in interest income.</w:t>
      </w:r>
    </w:p>
    <w:p>
      <w:pPr>
        <w:spacing w:after="0" w:line="164" w:lineRule="exact"/>
        <w:rPr>
          <w:sz w:val="20"/>
          <w:szCs w:val="20"/>
          <w:color w:val="auto"/>
        </w:rPr>
      </w:pPr>
    </w:p>
    <w:p>
      <w:pPr>
        <w:ind w:right="820" w:firstLine="589"/>
        <w:spacing w:after="0" w:line="277" w:lineRule="auto"/>
        <w:rPr>
          <w:sz w:val="20"/>
          <w:szCs w:val="20"/>
          <w:color w:val="auto"/>
        </w:rPr>
      </w:pPr>
      <w:r>
        <w:rPr>
          <w:rFonts w:ascii="Arial" w:cs="Arial" w:eastAsia="Arial" w:hAnsi="Arial"/>
          <w:sz w:val="18"/>
          <w:szCs w:val="18"/>
          <w:color w:val="auto"/>
        </w:rPr>
        <w:t>Our bank and investment accounts have been placed under control agreements in accordance with our Senior Secured Convertible Notes (“Convertible Notes”)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such as debt issuance costs must be recognized in earnings and cannot be deferred. The fair value election is irrevocable and generally made on an instrument-by-instrument basis, even if a company has similar instruments that it elects not to measure based on fair value. Unrealized gains and losses on existing items for which fair value has been elected are reported as a cumulative adjustment to beginning retained earnings and any changes in fair value are recognized in earnings. We have elected to not apply the fair value option to our financial assets and liabilities.</w:t>
      </w:r>
    </w:p>
    <w:p>
      <w:pPr>
        <w:spacing w:after="0" w:line="178"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Financial instruments, including cash and cash equivalents, receivables, inventory, prepaid expenses, other current assets, accounts payable and accrued expenses, are carried at cost, which is considered to be representative of their respective fair values because of the short-term maturity of these instruments. Short-term available-for-sale investments are carried at fair value (see Note 3). Our Convertible Notes outstanding at December 31, 2020 do not have a readily available ascertainable market value, however, the carrying value is considered to approximate its fair value.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Cash, cash equivalents and short-term investments are financial instruments that potentially subject us to concentrations of credit risk. We deposit our cash in financial institutions. At times, such deposits may be in excess of insured limits. We may also invest our excess cash in money market funds, U.S. government and agencies,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right="20"/>
        <w:spacing w:after="0" w:line="342" w:lineRule="auto"/>
        <w:rPr>
          <w:sz w:val="20"/>
          <w:szCs w:val="20"/>
          <w:color w:val="auto"/>
        </w:rPr>
      </w:pPr>
      <w:r>
        <w:rPr>
          <w:rFonts w:ascii="Arial" w:cs="Arial" w:eastAsia="Arial" w:hAnsi="Arial"/>
          <w:sz w:val="16"/>
          <w:szCs w:val="16"/>
          <w:color w:val="auto"/>
        </w:rPr>
        <w:t>corporate debt securities and commercial paper. We have established guidelines relative to our diversification of our cash investments and their maturities in an effort to maintain safety and liquidity. These guidelines are periodically reviewed and modified to take advantage of trends in yields and interest rates.</w:t>
      </w:r>
    </w:p>
    <w:p>
      <w:pPr>
        <w:spacing w:after="0" w:line="124"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CINVANTI and SUSTOL are distributed in the U.S. through a limited number of specialty distributors and full line wholesalers (collectively, “Customers”) that resell to healthcare providers and hospitals, the end users of CINVANTI and SUSTOL.</w:t>
      </w:r>
    </w:p>
    <w:p>
      <w:pPr>
        <w:spacing w:after="0" w:line="170"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 following table includes the percentage of net product sales and accounts receivable balances for our three major Customers, each of which comprised 10% or more of our net product sales: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Net Product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87"/>
              </w:rPr>
              <w:t>Sales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26"/>
        </w:trPr>
        <w:tc>
          <w:tcPr>
            <w:tcW w:w="76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600" w:type="dxa"/>
            <w:vAlign w:val="bottom"/>
          </w:tcPr>
          <w:p>
            <w:pPr>
              <w:spacing w:after="0"/>
              <w:rPr>
                <w:sz w:val="17"/>
                <w:szCs w:val="17"/>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6"/>
        </w:trPr>
        <w:tc>
          <w:tcPr>
            <w:tcW w:w="8820" w:type="dxa"/>
            <w:vAlign w:val="bottom"/>
            <w:gridSpan w:val="2"/>
          </w:tcPr>
          <w:p>
            <w:pPr>
              <w:jc w:val="center"/>
              <w:ind w:left="7854"/>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44.0%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33.5%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20.8%</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98.3%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Accounts receivable are recorded at the invoice amount, net of an allowance for doubtful accounts. The allowance for doubtful accounts reflects accounts receivable balances that are believed to be uncollectible. In estimating the allowance for doubtful accounts, we consider: (1) our historical experience with collections and write-offs; (2) the credit quality of our Customers and any recent or anticipated changes thereto; and (3) the outstanding balances and past due amounts from our Customers.</w:t>
      </w:r>
    </w:p>
    <w:p>
      <w:pPr>
        <w:spacing w:after="0" w:line="18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We offered extended payment terms to our Customers in connection with our product launches of SUSTOL and CINVANTI in October 2016 and January 2018, respectively, in anticipation of the timing in reimbursement by government and commercial payers. Effective January 2018, we shortened payment terms to certain of our SUSTOL Customers. Effective January 2019, we shortened payment terms to our CINVANTI Customers. As of December 31, 2020, extended payment terms given to our Customers were evaluated in accordance with GAAP and did not impact the collectability of accounts receivables.</w:t>
      </w:r>
    </w:p>
    <w:p>
      <w:pPr>
        <w:spacing w:after="0" w:line="188"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As of December 31, 2020 and 2019, we determined that an allowance for doubtful accounts was not required. For the years ended December 31, 2020 and 2019, we did not write-off any accounts receivable balances.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Inventory is stated at the lower of cost or estimated net realizable value on a first-in, first-out, or FIFO, basis. We periodically analyze our inventory levels and write down inventory that has become obsolete, inventory that has a cost basis in excess of its estimated realizable value and inventory quantities that are in excess of expected sales requirements as cost of product sales. The determination of whether inventory costs will be realizable requires estimates by management. If actual market conditions are less favorable than projected by management, additional write-downs of inventory may be required, which would be recorded as cost of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amortization. Depreciation is calculated on a straight-line basis over the estimated useful lives of the assets (generally 5 years). Leasehold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improvements are stated at cost and amortized on a straight-line basis over the shorter of the estimated useful life of the asset or the lease term.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If indicators of impairment exist, we assess the recoverability of the affected long-lived assets by determining whether the carrying value of such assets can be recovered through undiscounted future operating cash flows. If impairment is indicated, we measure the amount of such impairment by comparing the carrying value of the asset to the fair value of the asset and record the impairment as a reduction in the carrying value of the related asset with a corresponding charge to operating expenses. Estimating the undiscounted future operating cash flows associated with long-lived assets requires judgment and assumptions that could differ materially from actual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w:t>
      </w:r>
    </w:p>
    <w:p>
      <w:pPr>
        <w:spacing w:after="0" w:line="46" w:lineRule="exact"/>
        <w:rPr>
          <w:sz w:val="20"/>
          <w:szCs w:val="20"/>
          <w:color w:val="auto"/>
        </w:rPr>
      </w:pPr>
    </w:p>
    <w:p>
      <w:pPr>
        <w:ind w:firstLine="8"/>
        <w:spacing w:after="0" w:line="285" w:lineRule="auto"/>
        <w:tabs>
          <w:tab w:leader="none" w:pos="375" w:val="left"/>
        </w:tabs>
        <w:numPr>
          <w:ilvl w:val="0"/>
          <w:numId w:val="38"/>
        </w:numPr>
        <w:rPr>
          <w:rFonts w:ascii="Arial" w:cs="Arial" w:eastAsia="Arial" w:hAnsi="Arial"/>
          <w:sz w:val="16"/>
          <w:szCs w:val="16"/>
          <w:i w:val="1"/>
          <w:iCs w:val="1"/>
          <w:color w:val="auto"/>
        </w:rPr>
      </w:pPr>
      <w:r>
        <w:rPr>
          <w:rFonts w:ascii="Arial" w:cs="Arial" w:eastAsia="Arial" w:hAnsi="Arial"/>
          <w:sz w:val="16"/>
          <w:szCs w:val="16"/>
          <w:color w:val="auto"/>
        </w:rPr>
        <w:t xml:space="preserve">(“ASU 2016-02”), which provides principles for the recognition, measurement, presentation and disclosure of leases for both lessees and lessors. In July 2018,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and ASU No. 2018-10, </w:t>
      </w:r>
      <w:r>
        <w:rPr>
          <w:rFonts w:ascii="Arial" w:cs="Arial" w:eastAsia="Arial" w:hAnsi="Arial"/>
          <w:sz w:val="16"/>
          <w:szCs w:val="16"/>
          <w:i w:val="1"/>
          <w:iCs w:val="1"/>
          <w:color w:val="auto"/>
        </w:rPr>
        <w:t>Codification Improvements to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Leases</w:t>
      </w:r>
      <w:r>
        <w:rPr>
          <w:rFonts w:ascii="Arial" w:cs="Arial" w:eastAsia="Arial" w:hAnsi="Arial"/>
          <w:sz w:val="16"/>
          <w:szCs w:val="16"/>
          <w:color w:val="auto"/>
        </w:rPr>
        <w:t>. ASU 2016-02 and the subsequent modifications are identified as the FASB Accounting Standards Codification (“ASC”) Topic 842 (“Topic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842”). Topic 842 requires lessees to classify leases as either finance or operating based on whether or not the lease is effectively a financed purchase. Lease expense is recognized over the term of the lease using an effective interest method for finance leases and on a straight-line basis over the lease term for operating leases. A lessee is also required to record a right-of-use (“ROU”) lease asset and a lease liability for all leases with a lease term greater than 12 months. Leases with a term of 12 months or less will be accounted for similar to historical guidance for operating leases under the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We adopted Topic 842 on January 1, 2019 using the alternative transition method allowed under ASU No. 2018-11. We elected the package of</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practical expedients permitted under the transition guidance, which allowed us to carryforward our historical assessments of: (i) whether a contract is or contains a lease; (ii) lease classification; and (iii) initial direct costs. We elected a policy of not recording leases on the balance sheet when the lease term is 12 months or less. The adoption of Topic 842 had a substantial impact on the consolidated balance sheet with the recognition of lease liabilities and corresponding ROU lease assets. There was no material impact on our results of operations or liquidity (see Note 6).</w:t>
      </w:r>
    </w:p>
    <w:p>
      <w:pPr>
        <w:spacing w:after="0" w:line="64"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We determine if an agreement is a lease or contains lease components at inception. Operating leases are recorded as lease liabilities with corresponding ROU lease assets on the consolidated balance sheets. ROU lease assets represent our right to use the underlying assets over the lease term, and lease liabilities represent the present value of our obligation to make lease payments arising from the lease. Lease liabilities are recognized at the lease commencement based on the present value of lease payments over the lease term. As most of our leases do not provide an implicit rate, we use our incremental borrowing rate based on the information available at the commencement date in determining the present value of lease payments. We use the implicit rate when readily determinable. The ROU lease assets equal the lease liabilities, less unamortized lease incentives, unamortized initial direct costs and the cumulative difference between rent expense and amounts paid under the lease. The lease term includes any option to extend or terminate the lease when it is reasonably certain that we will exercise that option. Lease expense is recognized on a straight-line basis over the lease term. We have lease agreements with both lease and non-lease components, which are generally accounted for separately.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40" w:firstLine="589"/>
        <w:spacing w:after="0" w:line="254" w:lineRule="auto"/>
        <w:rPr>
          <w:sz w:val="20"/>
          <w:szCs w:val="20"/>
          <w:color w:val="auto"/>
        </w:rPr>
      </w:pPr>
      <w:r>
        <w:rPr>
          <w:rFonts w:ascii="Arial" w:cs="Arial" w:eastAsia="Arial" w:hAnsi="Arial"/>
          <w:sz w:val="18"/>
          <w:szCs w:val="18"/>
          <w:color w:val="auto"/>
        </w:rPr>
        <w:t xml:space="preserve">In May 2014,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Topic 606 is based on the principle that revenue should be recognized to depict the transfer of promised goods or services to customers in an amount that reflects the consideration to which the entity expects to be entitled in exchange for those goods or services. In the first quarter of 2018, we adopted Topic 606 using the modified retrospective approach. Under this approach, incremental disclosures are provided to present each financial statement line item for 2018 under the prior standard. As a result of the adoption of Topic 606, we recorded a cumulative adjustment to accumulated deficit of $1.6 million on January 1, 2018. This adjustment reflects the acceleration of $2.9 million in gross product sales less $1.1 million in product sales allowances and $0.2 million in cost of product sales (see Note 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Clinical Liabilities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accrue clinical costs based on work performed, which relies on estimates of the progress of the trials and the related expenses incurred. Clinical trial related contracts vary significantly in duration, and may be for a fixed amount, based on the achievement of certain contingent events or deliverables, a variable amount based on actual costs incurred, capped at a certain limit or contain a combination of these elements. Revisions are recorded to research and development expense in the period in which the facts that give rise to the revision become known. Historically, revisions have not resulted in material changes to research and development expense; however, a modification in the protocol of a clinical trial or cancellation of a clinical trial could result in a material charge to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All costs of research and development are expensed in the period incurred. Research and development expense primarily consists of personnel and related costs, stock-based compensation expense, fees paid to outside service providers and consultants, facilities costs and materials used in clinical and preclinical trials and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We incur outside legal fees in connection with filing and maintaining our various patent applications. All patent costs are expensed as incurred and are included in general and administrative expense in the consolidated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estimate the fair value of stock-based payment awards using the Black-Scholes option pricing model. This fair value is then amortized using the straight-line single-option method of attributing the value of stock-based compensation to expense over the requisite service periods of the awards. The Black-Scholes option pricing model requires the input of complex and subjective assumptions, including each option’s expected life and price volatility of the underlying stock.</w:t>
      </w:r>
    </w:p>
    <w:p>
      <w:pPr>
        <w:spacing w:after="0" w:line="18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As stock-based compensation expense is based on awards ultimately expected to vest, it has been reduced for estimated forfeitures. Forfeitures are estimated at the time of grant and revised, if necessary, in subsequent periods if actual forfeitures differ from those estimates. Forfeitures are estimated based on historical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We have issued warrants to purchase shares of our common stock in conjunction with certain equity financings or in exchange for services. The terms of the warrants were evaluated to determine the appropriate classification as equity or 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recognize the impact of a tax position in our consolidated financial statements if the position is more likely than not to be sustained on examination and on the technical merits of the position. The total amount of unrecognized tax benefits, if recognized, would affect other tax accounts, primarily deferred taxes in future periods, and would not affect our effective tax rate, since we maintain a full valuation allowance against our deferred tax assets (see Note 10). We recognize interest and penalties related to income tax matters in income tax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Net changes in unrealized gains and losses on available-for-sale securities are included in other comprehensive income (loss) and represent the difference between our net loss and comprehensive net loss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Basic net loss per share is calculated by dividing the net loss by the weighted-average number of common shares outstanding for the period, without consideration of common stock equivalents. Diluted net loss per share is computed by dividing the net loss by the weighted-average number of common shares and common stock equivalents outstanding for the period determined using the treasury stock method. For purposes of this calculation, stock options, warrants and shares of common stock underlying Convertible Notes are considered to be common stock equivalents and are included in the calculation of diluted net loss per share only when their effect is dilutive.</w:t>
      </w:r>
    </w:p>
    <w:p>
      <w:pPr>
        <w:spacing w:after="0" w:line="176"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Because we have incurred a net loss for all periods presented in the consolidated statements of operations and comprehensive loss, the following common stock equivalents were not included in the computation of net loss per share because their effect would be anti-dilutive (in thousands):</w:t>
      </w:r>
    </w:p>
    <w:p>
      <w:pPr>
        <w:spacing w:after="0" w:line="22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18,912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15,265</w:t>
            </w:r>
          </w:p>
        </w:tc>
        <w:tc>
          <w:tcPr>
            <w:tcW w:w="100" w:type="dxa"/>
            <w:vAlign w:val="bottom"/>
            <w:shd w:val="clear" w:color="auto" w:fill="CFF0FC"/>
          </w:tcPr>
          <w:p>
            <w:pPr>
              <w:spacing w:after="0"/>
              <w:rPr>
                <w:sz w:val="19"/>
                <w:szCs w:val="19"/>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Restricted stock units outstanding</w:t>
            </w:r>
          </w:p>
        </w:tc>
        <w:tc>
          <w:tcPr>
            <w:tcW w:w="520" w:type="dxa"/>
            <w:vAlign w:val="bottom"/>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Warrants outstanding</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r>
      <w:tr>
        <w:trPr>
          <w:trHeight w:val="215"/>
        </w:trPr>
        <w:tc>
          <w:tcPr>
            <w:tcW w:w="7460" w:type="dxa"/>
            <w:vAlign w:val="bottom"/>
            <w:gridSpan w:val="2"/>
          </w:tcPr>
          <w:p>
            <w:pPr>
              <w:spacing w:after="0"/>
              <w:rPr>
                <w:sz w:val="20"/>
                <w:szCs w:val="20"/>
                <w:color w:val="auto"/>
              </w:rPr>
            </w:pPr>
            <w:r>
              <w:rPr>
                <w:rFonts w:ascii="Arial" w:cs="Arial" w:eastAsia="Arial" w:hAnsi="Arial"/>
                <w:sz w:val="18"/>
                <w:szCs w:val="18"/>
                <w:color w:val="auto"/>
              </w:rPr>
              <w:t>Shares of common stock underlying Convertible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Notes outstanding</w:t>
            </w:r>
          </w:p>
        </w:tc>
        <w:tc>
          <w:tcPr>
            <w:tcW w:w="520" w:type="dxa"/>
            <w:vAlign w:val="bottom"/>
          </w:tcPr>
          <w:p>
            <w:pPr>
              <w:jc w:val="right"/>
              <w:spacing w:after="0"/>
              <w:rPr>
                <w:sz w:val="20"/>
                <w:szCs w:val="20"/>
                <w:color w:val="auto"/>
              </w:rPr>
            </w:pPr>
            <w:r>
              <w:rPr>
                <w:rFonts w:ascii="Arial" w:cs="Arial" w:eastAsia="Arial" w:hAnsi="Arial"/>
                <w:sz w:val="18"/>
                <w:szCs w:val="18"/>
                <w:color w:val="auto"/>
              </w:rPr>
              <w:t>9,510</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8,960</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8,473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in 2020</w:t>
      </w:r>
    </w:p>
    <w:p>
      <w:pPr>
        <w:spacing w:after="0" w:line="117"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is designed to improve the effectiveness of disclosures by removing, modifying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adding disclosures related to fair value measurements. In the first quarter of 2020, we adopted the provisions of ASU 2018-13 which did not have a material impact on our financial statement disclosures.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1" w:name="page92"/>
    <w:bookmarkEnd w:id="91"/>
    <w:p>
      <w:pPr>
        <w:ind w:firstLine="589"/>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amends the impairment model by requiring entities to use a forward-looking approach based on expected losses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estimate credit losses on certain types of financial instruments, including trade receivables and available-for-sale debt securities. In May 2019, the FASB issued ASU No. 2019-05, </w:t>
      </w:r>
      <w:r>
        <w:rPr>
          <w:rFonts w:ascii="Arial" w:cs="Arial" w:eastAsia="Arial" w:hAnsi="Arial"/>
          <w:sz w:val="16"/>
          <w:szCs w:val="16"/>
          <w:i w:val="1"/>
          <w:iCs w:val="1"/>
          <w:color w:val="auto"/>
        </w:rPr>
        <w:t>Financial Instruments - Credit Losses (Topic 326): Targeted Transition Relief</w:t>
      </w:r>
      <w:r>
        <w:rPr>
          <w:rFonts w:ascii="Arial" w:cs="Arial" w:eastAsia="Arial" w:hAnsi="Arial"/>
          <w:sz w:val="16"/>
          <w:szCs w:val="16"/>
          <w:color w:val="auto"/>
        </w:rPr>
        <w:t xml:space="preserve"> (“ASU 2019-05”), which amends ASU 2016-13 by providing entities with an option to irrevocably elect the fair value option to be applied on an instrument-by-instrument basis for eligible financial instruments that are within the scope of Topic 326. The fair value option election does not apply to held-to-maturity debt securities. On January 1, 2020, we adopted the provisions of ASU 2016-13, which did not have a material impact on our results of operations, financial condition or internal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2019-12”), which is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ASU 2019-12 also simplifies aspects of the accounting for franchise taxes and enacted changes in tax laws or rates. Adoption of ASU 2019-12 requires certain changes to be made prospectively and other changes to be made retrospectively. On January 1, 2021 we adopted the provisions of ASU 2019-12 which did not have a material impact on our results of operations, cash flows, financial condition, internal controls or related disclosures.</w:t>
      </w:r>
    </w:p>
    <w:p>
      <w:pPr>
        <w:spacing w:after="0" w:line="174"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FASB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&amp; Disclosures</w:t>
      </w:r>
      <w:r>
        <w:rPr>
          <w:rFonts w:ascii="Arial" w:cs="Arial" w:eastAsia="Arial" w:hAnsi="Arial"/>
          <w:sz w:val="16"/>
          <w:szCs w:val="16"/>
          <w:color w:val="auto"/>
        </w:rPr>
        <w:t>, establishes a fair value hierarchy which prioritizes the inputs used in measuring fair value as follows:</w:t>
      </w:r>
    </w:p>
    <w:p>
      <w:pPr>
        <w:spacing w:after="0" w:line="49"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160" w:right="260" w:hanging="572"/>
        <w:spacing w:after="0" w:line="263"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2" w:name="page93"/>
    <w:bookmarkEnd w:id="92"/>
    <w:p>
      <w:pPr>
        <w:ind w:right="560" w:firstLine="589"/>
        <w:spacing w:after="0" w:line="277" w:lineRule="auto"/>
        <w:rPr>
          <w:sz w:val="20"/>
          <w:szCs w:val="20"/>
          <w:color w:val="auto"/>
        </w:rPr>
      </w:pPr>
      <w:r>
        <w:rPr>
          <w:rFonts w:ascii="Arial" w:cs="Arial" w:eastAsia="Arial" w:hAnsi="Arial"/>
          <w:sz w:val="18"/>
          <w:szCs w:val="18"/>
          <w:color w:val="auto"/>
        </w:rPr>
        <w:t>We measure cash, cash equivalents and short-term investments at fair value on a recurring basis. The fair values of these such assets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0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money market funds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U.S. treasury bills and government agency obligations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20,276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U.S. corporate debt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Foreign corporate debt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U.S. commercial paper</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Foreign 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83,966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0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money market funds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treasury bills and government agency obligations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140,626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140,626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U.S. corporate debt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Foreign corporate debt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U.S. commercial paper</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Foreign 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not transferred any investment securities between the three levels of the fair value hierarchy.</w:t>
      </w:r>
    </w:p>
    <w:p>
      <w:pPr>
        <w:spacing w:after="0" w:line="225"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As of December 31, 2020, cash equivalents included $55.9 million of available-for-sale securities with contractual maturities of three months or less and short-term investments included $103.4 million of available-for-sale securities with contractual maturities of three months to one year. As of December 31, 2019, cash equivalents included $15.0 million of available-for-sale securities with contractual maturities of three months or less. As of December 31, 2019, short-term investments included $279.7 million of available-for-sale securities with contractual maturities of three months to one year and $39.4 million of available-for-sale securities with contractual maturities greater than one year. The money market funds as of December 31, 2020 and 2019 are included in cash and cash equivalents on the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580" w:hanging="572"/>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our short-term investments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98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bills and government agency obligations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U.S. corporate debt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corporate debt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commercial paper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commercial paper</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103,096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98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bills and government agency obligations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140,567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U.S. corporate debt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corporate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commercial paper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commercial paper</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318,989</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The amortized cost of debt securities is adjusted for amortization of premiums and accretion of discounts to maturity. We regularly monitor and evaluate the realizable value of our marketable securities. We did not recognize any impairment losses for the years ended December 31, 2020 and 2019.</w:t>
      </w:r>
    </w:p>
    <w:p>
      <w:pPr>
        <w:spacing w:after="0" w:line="12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Unrealized gains and losses associated with our investments are reported in accumulated other comprehensive loss. For both years ended December 31, 2020 and 2019, we recorded $172,000 in net unrealized gains associated with our short-term investments. For the year ended December 31, 2018, we recorded $77,000 in net unrealized losses associated with our short-term investments.</w:t>
      </w:r>
    </w:p>
    <w:p>
      <w:pPr>
        <w:spacing w:after="0" w:line="184"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Realized gains and losses associated with our investments, if any, are reported in the statements of operations and comprehensive loss. We recognized $8,000 in realized gains during the year ended December 31, 2019. We did not recognize any realized gains or losses during the years ended December 31, 2020 and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Inventory consists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18,994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16,064</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inventory</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41,905</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As of December 31, 2020, total inventory included $37.8 million related to CINVANTI and $4.1 million related to SUSTOL. As of December 31, 2019, total inventory included $23.5 million related to CINVANTI and $1.5 million related to SUSTOL. In addition, cost of product sales for the years ended December 31, 2020 and 2019 included charges of $0.1 million and $3.3 million, respectively, resulting from the write-off of short-dated SUSTOL inventory.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Scientific equipment</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fixtures and office equipment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(10,872)</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(8,025)</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Depreciation and amortization expense for the years ended December 31, 2020, 2019 and 2018 was $2.8 million, $2.0 million and $1.5 million, respectively. As of December 31, 2020 and 2019, $14.1 million and $13.5 million of property and equipment, respectively, was in process and not depreciated during the respective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Payroll and Employee Liabilities and Other Accrued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payroll and employee liabilities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salaries and benefits</w:t>
            </w:r>
          </w:p>
        </w:tc>
        <w:tc>
          <w:tcPr>
            <w:tcW w:w="2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bonuses</w:t>
            </w:r>
          </w:p>
        </w:tc>
        <w:tc>
          <w:tcPr>
            <w:tcW w:w="2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23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Total accrued payroll and employee liabilities</w:t>
            </w:r>
          </w:p>
        </w:tc>
        <w:tc>
          <w:tcPr>
            <w:tcW w:w="23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13,597</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600"/>
              <w:spacing w:after="0"/>
              <w:rPr>
                <w:sz w:val="20"/>
                <w:szCs w:val="20"/>
                <w:color w:val="auto"/>
              </w:rPr>
            </w:pPr>
            <w:r>
              <w:rPr>
                <w:rFonts w:ascii="Arial" w:cs="Arial" w:eastAsia="Arial" w:hAnsi="Arial"/>
                <w:sz w:val="18"/>
                <w:szCs w:val="18"/>
                <w:color w:val="auto"/>
                <w:w w:val="95"/>
              </w:rPr>
              <w:t>Other accrued liabilities consist of the following (in thousands):</w:t>
            </w:r>
          </w:p>
        </w:tc>
        <w:tc>
          <w:tcPr>
            <w:tcW w:w="2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sales allowances</w:t>
            </w:r>
          </w:p>
        </w:tc>
        <w:tc>
          <w:tcPr>
            <w:tcW w:w="2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24,571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consulting and professional fees</w:t>
            </w:r>
          </w:p>
        </w:tc>
        <w:tc>
          <w:tcPr>
            <w:tcW w:w="2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accounts payable</w:t>
            </w:r>
          </w:p>
        </w:tc>
        <w:tc>
          <w:tcPr>
            <w:tcW w:w="2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23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accrued liabilities</w:t>
            </w:r>
          </w:p>
        </w:tc>
        <w:tc>
          <w:tcPr>
            <w:tcW w:w="2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28,369</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60" w:type="dxa"/>
            <w:vAlign w:val="bottom"/>
            <w:vMerge w:val="restart"/>
          </w:tcPr>
          <w:p>
            <w:pPr>
              <w:jc w:val="right"/>
              <w:ind w:right="1910"/>
              <w:spacing w:after="0"/>
              <w:rPr>
                <w:sz w:val="20"/>
                <w:szCs w:val="20"/>
                <w:color w:val="auto"/>
              </w:rPr>
            </w:pPr>
            <w:r>
              <w:rPr>
                <w:rFonts w:ascii="Arial" w:cs="Arial" w:eastAsia="Arial" w:hAnsi="Arial"/>
                <w:sz w:val="18"/>
                <w:szCs w:val="18"/>
                <w:color w:val="auto"/>
              </w:rPr>
              <w:t>93</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5" w:name="page96"/>
    <w:bookmarkEnd w:id="95"/>
    <w:p>
      <w:pPr>
        <w:ind w:left="580" w:hanging="572"/>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CINVANTI and SUSTOL are distributed in the U.S. through a limited number of Customers that resell to healthcare providers and hospitals, the end users of CINVANTI and SUSTOL.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Topic 606</w:t>
      </w:r>
    </w:p>
    <w:p>
      <w:pPr>
        <w:spacing w:after="0" w:line="117"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On January 1, 2018, we adopted Topic 606 using the modified retrospective approach applied to those contracts that were not completed as of January 1, 2018. With the adoption of Topic 606, we recognize product sales as revenue when our products are sold to our Customers (sell-in approach). Product sales under Topic 606 are reported net of product sales allowances, which include product returns.</w:t>
      </w:r>
    </w:p>
    <w:p>
      <w:pPr>
        <w:spacing w:after="0" w:line="16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Revenue is recognized in an amount that reflects the consideration we expect to receive in exchange for our products. To determine revenue recognition for contracts with customers within the scope of Topic 606, we performed the following 5 steps: (i) identify the contract(s) with a customer; (ii) identify the performance obligations of the contract(s); (iii) determine the transaction price; (iv) allocate the transaction price to the performance obligations in the contract(s); and (v) recognize revenue when (or as) we satisfy the performance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Allowances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recognize product sales allowances as a reduction of product sales in the same period the related revenue is recognized. Product sales allowances are based on amounts owed or to be claimed on the related sales. These estimates take into consideration the terms of our agreements with Customers, historical product returns, rebates or discounts taken, the shelf life of the product and specific known market events, such as competitive pricing and new product introductions. If actual future results vary from our estimates, we may need to adjust these estimates, which could have an effect on product sales and earnings in the period of adjustment. Our product sales allowances include:</w:t>
      </w:r>
    </w:p>
    <w:p>
      <w:pPr>
        <w:spacing w:after="0" w:line="136" w:lineRule="exact"/>
        <w:rPr>
          <w:sz w:val="20"/>
          <w:szCs w:val="20"/>
          <w:color w:val="auto"/>
        </w:rPr>
      </w:pPr>
    </w:p>
    <w:p>
      <w:pPr>
        <w:ind w:left="1020" w:right="260" w:hanging="432"/>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Product Returns—We allow our Customers to return product for credit for up to 12 months after its product expiration date. As such, there may be a significant period of time between the time the product is shipped and the time the credit is issued on returned product.</w:t>
      </w:r>
    </w:p>
    <w:p>
      <w:pPr>
        <w:spacing w:after="0" w:line="83" w:lineRule="exact"/>
        <w:rPr>
          <w:rFonts w:ascii="Arial" w:cs="Arial" w:eastAsia="Arial" w:hAnsi="Arial"/>
          <w:sz w:val="16"/>
          <w:szCs w:val="16"/>
          <w:color w:val="auto"/>
        </w:rPr>
      </w:pPr>
    </w:p>
    <w:p>
      <w:pPr>
        <w:ind w:left="1020" w:right="60" w:hanging="43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Distributor Fees—We offer contractually determined discounts to our Customers. These discounts are paid no later than two months after the quarter in which product was shipped.</w:t>
      </w:r>
    </w:p>
    <w:p>
      <w:pPr>
        <w:spacing w:after="0" w:line="129" w:lineRule="exact"/>
        <w:rPr>
          <w:rFonts w:ascii="Arial" w:cs="Arial" w:eastAsia="Arial" w:hAnsi="Arial"/>
          <w:sz w:val="18"/>
          <w:szCs w:val="18"/>
          <w:color w:val="auto"/>
        </w:rPr>
      </w:pPr>
    </w:p>
    <w:p>
      <w:pPr>
        <w:ind w:left="1020" w:right="180" w:hanging="432"/>
        <w:spacing w:after="0" w:line="311"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Group Purchasing Organization (“GPO”) Discounts and Rebates—We offer cash discounts to GPO members. These discounts are taken when the GPO members purchase product from our Customers, who then charge back to us the discount amount. Additionally, we offer volume and contract-tier rebates to GPO members. Rebates are based on actual purchase levels during the quarterly rebate purchase period.</w:t>
      </w:r>
    </w:p>
    <w:p>
      <w:pPr>
        <w:spacing w:after="0" w:line="108" w:lineRule="exact"/>
        <w:rPr>
          <w:rFonts w:ascii="Arial" w:cs="Arial" w:eastAsia="Arial" w:hAnsi="Arial"/>
          <w:sz w:val="16"/>
          <w:szCs w:val="16"/>
          <w:color w:val="auto"/>
        </w:rPr>
      </w:pPr>
    </w:p>
    <w:p>
      <w:pPr>
        <w:ind w:left="1020" w:right="20" w:hanging="43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GPO Administrative Fees—We pay administrative fees to GPOs for services and access to data. These fees are based on contracted terms and are paid after the quarter in which the product was purchased by the GPOs’ members.</w:t>
      </w:r>
    </w:p>
    <w:p>
      <w:pPr>
        <w:spacing w:after="0" w:line="129" w:lineRule="exact"/>
        <w:rPr>
          <w:rFonts w:ascii="Arial" w:cs="Arial" w:eastAsia="Arial" w:hAnsi="Arial"/>
          <w:sz w:val="18"/>
          <w:szCs w:val="18"/>
          <w:color w:val="auto"/>
        </w:rPr>
      </w:pPr>
    </w:p>
    <w:p>
      <w:pPr>
        <w:ind w:left="1020" w:right="340" w:hanging="432"/>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Medicaid Rebates—We participate in Medicaid rebate programs, which provide assistance to certain low-income patients based on each individual state’s guidelines regarding eligibility and services. Under the Medicaid rebate programs, we pay a rebate to each participating state, generally within three months after the quarter in which product was sold.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6" w:name="page97"/>
    <w:bookmarkEnd w:id="96"/>
    <w:p>
      <w:pPr>
        <w:jc w:val="both"/>
        <w:ind w:right="240" w:firstLine="589"/>
        <w:spacing w:after="0" w:line="311" w:lineRule="auto"/>
        <w:rPr>
          <w:sz w:val="20"/>
          <w:szCs w:val="20"/>
          <w:color w:val="auto"/>
        </w:rPr>
      </w:pPr>
      <w:r>
        <w:rPr>
          <w:rFonts w:ascii="Arial" w:cs="Arial" w:eastAsia="Arial" w:hAnsi="Arial"/>
          <w:sz w:val="16"/>
          <w:szCs w:val="16"/>
          <w:color w:val="auto"/>
        </w:rPr>
        <w:t>We believe our estimated allowance for product returns requires a high degree of judgment and is subject to change based on our experience and certain quantitative and qualitative factors. We believe our estimated allowances for distributor fees, GPO discounts, rebates and administrative fees and Medicaid rebates do not require a high degree of judgment because the amounts are settled within a relatively short period of time.</w:t>
      </w:r>
    </w:p>
    <w:p>
      <w:pPr>
        <w:spacing w:after="0" w:line="149" w:lineRule="exact"/>
        <w:rPr>
          <w:sz w:val="20"/>
          <w:szCs w:val="20"/>
          <w:color w:val="auto"/>
        </w:rPr>
      </w:pPr>
    </w:p>
    <w:p>
      <w:pPr>
        <w:ind w:right="40" w:firstLine="589"/>
        <w:spacing w:after="0" w:line="342" w:lineRule="auto"/>
        <w:rPr>
          <w:sz w:val="20"/>
          <w:szCs w:val="20"/>
          <w:color w:val="auto"/>
        </w:rPr>
      </w:pPr>
      <w:r>
        <w:rPr>
          <w:rFonts w:ascii="Arial" w:cs="Arial" w:eastAsia="Arial" w:hAnsi="Arial"/>
          <w:sz w:val="16"/>
          <w:szCs w:val="16"/>
          <w:color w:val="auto"/>
        </w:rPr>
        <w:t>Our product sales allowances and related accruals are evaluated each reporting period and adjusted when trends or significant events indicate that a change in estimate is appropriate. Changes in product sales allowance estimates could materially affect our results of operations and financial position.</w:t>
      </w:r>
    </w:p>
    <w:p>
      <w:pPr>
        <w:spacing w:after="0" w:line="124"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Net product sales for the year ended December 31, 2020 were $88.6 million, compared to $146.0 million for the same period in 2019. For the year ended December 31, 2020, net products sales of CINVANTI were $87.8 million, compared to $132.2 million for the same period in 2019. For the year ended December 31, 2020, net product sales of SUSTOL were $0.8 million, compared to $13.8 million for the same period in 2019.</w:t>
      </w:r>
    </w:p>
    <w:p>
      <w:pPr>
        <w:spacing w:after="0" w:line="165"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The following table provides a summary of activity with respect to our product returns, distributor fees and discounts, rebates and administrative fees, which are included in other accrued liabilities on the consolidated balance sheets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Discounts,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Rebates and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Distributor</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Administrative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Fees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Fees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119,065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Payments/credits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(16,033)</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(106,255)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(122,433)</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As of December 31, 2020, we had an operating lease for 73,328 square feet of laboratory and office space in San Diego, California, with a lease term that expires on December 31, 2025. We have one 5-year option to renew this lease on expiration. During the year ended December 31, 2020, we paid $3.6 million for our operating lease.</w:t>
      </w:r>
    </w:p>
    <w:p>
      <w:pPr>
        <w:spacing w:after="0" w:line="76"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We leased 26,067 square feet of laboratory, office and warehouse space in Redwood City, California. The lease for the Redwood City space expired in May 2019. In March 2018, we entered into a sublease agreement for the Redwood City property. The sublease agreement expired in May 2019. We also leased 1,898 square feet of office space in Jersey City, New Jersey. The lease for the Jersey City office space expired in December 2019.</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Annual future minimum lease payments as of December 31, 2020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w:t>
            </w:r>
          </w:p>
        </w:tc>
        <w:tc>
          <w:tcPr>
            <w:tcW w:w="5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2021</w:t>
            </w:r>
          </w:p>
        </w:tc>
        <w:tc>
          <w:tcPr>
            <w:tcW w:w="584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2023</w:t>
            </w:r>
          </w:p>
        </w:tc>
        <w:tc>
          <w:tcPr>
            <w:tcW w:w="5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2025</w:t>
            </w:r>
          </w:p>
        </w:tc>
        <w:tc>
          <w:tcPr>
            <w:tcW w:w="5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5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5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Less: discount</w:t>
            </w:r>
          </w:p>
        </w:tc>
        <w:tc>
          <w:tcPr>
            <w:tcW w:w="5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23"/>
        </w:trPr>
        <w:tc>
          <w:tcPr>
            <w:tcW w:w="4140" w:type="dxa"/>
            <w:vAlign w:val="bottom"/>
          </w:tcPr>
          <w:p>
            <w:pPr>
              <w:ind w:left="260"/>
              <w:spacing w:after="0"/>
              <w:rPr>
                <w:sz w:val="20"/>
                <w:szCs w:val="20"/>
                <w:color w:val="auto"/>
              </w:rPr>
            </w:pPr>
            <w:r>
              <w:rPr>
                <w:rFonts w:ascii="Arial" w:cs="Arial" w:eastAsia="Arial" w:hAnsi="Arial"/>
                <w:sz w:val="18"/>
                <w:szCs w:val="18"/>
                <w:color w:val="auto"/>
              </w:rPr>
              <w:t>Total lease liabilities</w:t>
            </w:r>
          </w:p>
        </w:tc>
        <w:tc>
          <w:tcPr>
            <w:tcW w:w="5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120" w:type="dxa"/>
            <w:vAlign w:val="bottom"/>
            <w:vMerge w:val="restart"/>
          </w:tcPr>
          <w:p>
            <w:pPr>
              <w:jc w:val="right"/>
              <w:ind w:right="3450"/>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ind w:right="60" w:firstLine="589"/>
        <w:spacing w:after="0" w:line="277" w:lineRule="auto"/>
        <w:rPr>
          <w:sz w:val="20"/>
          <w:szCs w:val="20"/>
          <w:color w:val="auto"/>
        </w:rPr>
      </w:pPr>
      <w:r>
        <w:rPr>
          <w:rFonts w:ascii="Arial" w:cs="Arial" w:eastAsia="Arial" w:hAnsi="Arial"/>
          <w:sz w:val="18"/>
          <w:szCs w:val="18"/>
          <w:color w:val="auto"/>
        </w:rPr>
        <w:t>Rent expense under all operating leases totaled $3.9 million, $3.1 million and $3.2 million for the years ended December 31, 2020, 2019 and 2018,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Agreements</w:t>
      </w:r>
    </w:p>
    <w:p>
      <w:pPr>
        <w:spacing w:after="0" w:line="225"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enter into agreements with clinical sites and clinical research organizations for the conduct of our clinical trials and contract manufacturing organizations for the manufacture and supply of preclinical, clinical and commercial materials and drug product. We make payments to these clinical sites and clinical research organizations based in part on the number of eligible patients enrolled and the length of their participation in the clinical trials. In some of our agreements with contract manufacturing organizations, we are required to meet minimum purchase obligations. Under certain of these agreements, we may be subject to penalties in the event that we prematurely terminate these agreements. At this time, due to the variability associated with clinical site agreements, contract research organization agreements and contract manufacturing agreements, we are unable to estimate with certainty the future costs we will incur. We intend to use our current financial resources to fund our obligations under these commitments.</w:t>
      </w:r>
    </w:p>
    <w:p>
      <w:pPr>
        <w:spacing w:after="0" w:line="162"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October 2020, we implemented changes to our organizational structure. In connection with the reorganization, we provided or will provide employees one-time severance payments upon termination, continued benefits for a specified period of time, outplacement services and certain stock option modifications.</w:t>
      </w:r>
    </w:p>
    <w:p>
      <w:pPr>
        <w:spacing w:after="0" w:line="184"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 xml:space="preserve">The total expense for these activities was $5.6 million, $2.5 million of which is primarily for severance and $3.1 million of which is for non-cash, stock-based compensation expense. For the year ended December 31, 2020, total expenses were $5.6 million, with $1.2 million in research and development expense, $3.7 million in general and administrative expense and $0.7 million in sales and marketing expense. As of December 31, 2020, we had paid $2.4 million of the total cash severance charges. We have accounted for these expenses in accordance with the FASB ASC Topic 420, </w:t>
      </w:r>
      <w:r>
        <w:rPr>
          <w:rFonts w:ascii="Arial" w:cs="Arial" w:eastAsia="Arial" w:hAnsi="Arial"/>
          <w:sz w:val="18"/>
          <w:szCs w:val="18"/>
          <w:i w:val="1"/>
          <w:iCs w:val="1"/>
          <w:color w:val="auto"/>
        </w:rPr>
        <w:t>Exit or</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 Cost Obligations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8" w:name="page99"/>
    <w:bookmarkEnd w:id="98"/>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Secured Notes to Related Party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April 2011, we entered into a securities purchase agreement for a private placement of up to $4.5 million in Convertible Notes with certain investors, including Tang Capital Partners, LP (“TCP”). TCP is controlled by Tang Capital Management, LLC (“TCM”). The manager of TCM is Kevin Tang, who served as a director at the time. At the time of issuance, the terms of the Convertible Notes were determined by our independent directors to be no less favorable than terms that would be obtained in an arm’s length financing transaction. We received a total of $4.3 million, net of issuance costs, from the issuance of these Convertible Notes.</w:t>
      </w:r>
    </w:p>
    <w:p>
      <w:pPr>
        <w:spacing w:after="0" w:line="188"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The Convertible Notes are secured by substantially all of our assets, including placing our bank and investment accounts under a control agreement. The Convertible Notes bear interest at 6% per annum, payable quarterly in cash or in additional principal amount of Convertible Notes, at the election of the purchasers. The Convertible Notes mature on May 2, 2021; however, the holders of the Convertible Notes may require prepayment of the Convertible Notes at any time, at each holder’s option.</w:t>
      </w:r>
    </w:p>
    <w:p>
      <w:pPr>
        <w:spacing w:after="0" w:line="187"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The Convertible Notes are convertible into shares of our common stock at a rate of 1,250 shares for every $1,000 of outstanding principal due under the Convertible Notes. There is no right to convert the Convertible Notes to the extent that, after giving effect to such conversion, the holder would beneficially own in excess of 9.99% of our outstanding common stock. Each holder of the Convertible Notes can increase or decrease this beneficial ownership conversion limit by written notice to us, which will not be effective until 61 days after delivery of the notice.</w:t>
      </w:r>
    </w:p>
    <w:p>
      <w:pPr>
        <w:spacing w:after="0" w:line="171"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As of December 31, 2020, we were in compliance with all covenants under the Convertible Notes. On the occurrence of an event of default under the Convertible Notes, the holders of the Convertible Notes have the right to require us to redeem all or a portion of their Convertible Notes.</w:t>
      </w:r>
    </w:p>
    <w:p>
      <w:pPr>
        <w:spacing w:after="0" w:line="146"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In 2011, we filed a registration statement with the SEC to register for resale 3.5 million shares underlying the Convertible Notes. The registration statement was declared effective on July 29, 2011. The Convertible Note holders have agreed to waive their right to require us to maintain the effectiveness of the registration statement and to register the additional shares underlying the Convertible Notes until they provide notice otherwise.</w:t>
      </w:r>
    </w:p>
    <w:p>
      <w:pPr>
        <w:spacing w:after="0" w:line="149"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The Convertible Notes contain an embedded conversion feature that was in-the-money on the issuance dates. Based on an effective fixed conversion rate of 1,250 shares for every $1,000 of principal and accrued interest due under the Convertible Notes, the total conversion benefit at issuance exceeded the loan proceeds. Therefore, a debt discount was recorded in an amount equal to the face value of the Convertible Notes on the issuance dates, and we began amortizing the resultant debt discount over the respective 10-year term of the Convertible Notes. During the year ended December 31, 2020, accrued interest of $0.4 million was paid-in-kind and rolled into the Convertible Note principal balance, which resulted in an additional debt discount of $0.4 million. For the years ended December 31, 2020, 2019 and 2018, interest expense relating to the stated rate was $0.4 million for each of the three periods. Interest expense relating to the amortization of the debt discount was $1.4 million, $1.1 million and $0.9 million, respectively.</w:t>
      </w:r>
    </w:p>
    <w:p>
      <w:pPr>
        <w:spacing w:after="0" w:line="166"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As of December 31, 2020, the carrying value of the Convertible Notes was $7.1 million, which is comprised of the $7.6 million principal amount of the Convertible Notes outstanding, less a debt discount of $0.5 million. As of December 31, 2020, the Convertible Notes were convertible into 9.5 million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117"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In August 2016, we entered into the Subordinated Secured Promissory Note (“Promissory Note”) with TCP whereby TCP agreed to lend us up to $100.0 million. The Promissory Note had a two-year term and bore interest at a rate of 8% per annum. The first close of $50.0 million occurred on August 5, 2016. The second close of an additional $50.0 million was not drawn and expired prior to the draw down. There were no fees, no warrants and no equity conversion features associated with this transaction. The Promissory Note was secured by a second-priority lien on substantially all of our assets. TCP is controlled by TCM. The manager of TCM is Kevin Tang, who served as the Chairman of our Board of Directors at the time. The terms of the Promissory Note were determined by our independent directors to be no less favorable than terms that would be obtained in an arm’s length financing transaction.</w:t>
      </w:r>
    </w:p>
    <w:p>
      <w:pPr>
        <w:spacing w:after="0" w:line="16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For the year ended December 31, 2018, interest expense was $1.2 million. In August 2018, we paid the remaining obligation under the Promissory Note, which included $25.0 million of outstanding principal and $0.2 million of accrued interest. As of December 31, 2018, there were no remaining obligations under the Promissory Note.</w:t>
      </w:r>
    </w:p>
    <w:p>
      <w:pPr>
        <w:spacing w:after="0" w:line="180"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Common Stock Offerings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 April 2018, we sold 6.9 million shares of our common stock at a public offering price of $26.00 per share. We received total net cash proceeds of $168.7 million (net of $10.7 million in issuance costs) from the sale of the common stock.</w:t>
      </w:r>
    </w:p>
    <w:p>
      <w:pPr>
        <w:spacing w:after="0" w:line="17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 June 2018, we sold 5.1 million shares of our common stock at a public offering price of $39.50 per share. We received total net cash proceeds of $194.4 million (net of $5.6 million in issuance costs) from the sale of the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Common Stock Offerings</w:t>
      </w:r>
    </w:p>
    <w:p>
      <w:pPr>
        <w:spacing w:after="0" w:line="117"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In October 2019, we sold 9.9 million shares of our common stock at a public offering price of $17.50 per share. We received total net cash proceeds of $162.2 million (net of $10.3 million in issuance costs) from the sale of the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Warrants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In June 2014, as a component of our public offering, we sold 600,000 pre-funded warrants to purchase shares of our common stock. The pre-funded warrants have an exercise price of $0.01 per share and expire on June 30, 2021. During the year ended December 31, 2017, warrant holders exercised 4,426 warrants under the cashless exercise provision in each such holder’s warrant, which resulted in the net issuance of 4,423 shares of common stock and no net cash proceeds to us. During the year ended December 31, 2019, warrant holders exercised 132,130 warrants, which resulted in the issuance of 132,130 shares for net cash proceeds of $1,321. During the year ended December 31, 2020, warrant holders exercised 267,870 warrants, which resulted in the issuance of 267,870 shares for net cash proceeds of $2,679. As of December 31, 2020, 195,574 warrants from the June 2014 public offering remain outstanding.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 of our common stock reserved for future issuance as of December 31, 2020 were as follows:</w:t>
      </w:r>
    </w:p>
    <w:p>
      <w:pPr>
        <w:spacing w:after="0" w:line="325" w:lineRule="exact"/>
        <w:rPr>
          <w:sz w:val="20"/>
          <w:szCs w:val="20"/>
          <w:color w:val="auto"/>
        </w:rPr>
      </w:pPr>
    </w:p>
    <w:p>
      <w:pPr>
        <w:jc w:val="center"/>
        <w:ind w:left="9120"/>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available for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underlying Convertible Notes outstanding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shares reserved for future issuance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18,912,529</w:t>
      </w:r>
    </w:p>
    <w:p>
      <w:pPr>
        <w:spacing w:after="0" w:line="4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602,741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1,575,955</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176,250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220,164</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9,510,208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30,997,847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46355</wp:posOffset>
            </wp:positionV>
            <wp:extent cx="11912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760" w:lineRule="exact"/>
        <w:rPr>
          <w:sz w:val="20"/>
          <w:szCs w:val="20"/>
          <w:color w:val="auto"/>
        </w:rPr>
      </w:pPr>
    </w:p>
    <w:p>
      <w:pPr>
        <w:sectPr>
          <w:pgSz w:w="11900" w:h="16838" w:orient="portrait"/>
          <w:cols w:equalWidth="0" w:num="2">
            <w:col w:w="9580" w:space="720"/>
            <w:col w:w="940"/>
          </w:cols>
          <w:pgMar w:left="320" w:top="665" w:right="339" w:bottom="1440" w:gutter="0" w:footer="0" w:header="0"/>
          <w:type w:val="continuous"/>
        </w:sectPr>
      </w:pPr>
    </w:p>
    <w:p>
      <w:pPr>
        <w:ind w:right="20" w:firstLine="589"/>
        <w:spacing w:after="0" w:line="284" w:lineRule="auto"/>
        <w:rPr>
          <w:sz w:val="20"/>
          <w:szCs w:val="20"/>
          <w:color w:val="auto"/>
        </w:rPr>
      </w:pPr>
      <w:r>
        <w:rPr>
          <w:rFonts w:ascii="Arial" w:cs="Arial" w:eastAsia="Arial" w:hAnsi="Arial"/>
          <w:sz w:val="16"/>
          <w:szCs w:val="16"/>
          <w:color w:val="auto"/>
        </w:rPr>
        <w:t>In 1997, our stockholders approved our Employee Stock Purchase Plan (“ESPP”) at which time a maximum of 10,000 shares of common stock were available for issuance. In December 2007, May 2009, June 2011, May 2014, May 2015, June 2016, June 2017 and June 2019, our stockholders authorized increases in the number of shares reserved for issuance under the ESPP by 5,000, 10,000, 25,000, 25,000, 100,000, 100,000, 200,000 and 300,000 shares, respectively, for a total of 775,000 shares reserved at December 31, 2020. Under the terms of the ESPP, employees can elect to have up to a maximum of 10% of their base earnings withheld to purchase shares of our common stock. The purchase price of the stock is 85% of the lower of the closing prices for our common stock on either: (i) the first trading day in the enrollment period, as defined in the ESPP, in which the purchase is made, or</w:t>
      </w:r>
    </w:p>
    <w:p>
      <w:pPr>
        <w:spacing w:after="0" w:line="4" w:lineRule="exact"/>
        <w:rPr>
          <w:sz w:val="20"/>
          <w:szCs w:val="20"/>
          <w:color w:val="auto"/>
        </w:rPr>
      </w:pPr>
    </w:p>
    <w:p>
      <w:pPr>
        <w:jc w:val="both"/>
        <w:ind w:right="60" w:firstLine="8"/>
        <w:spacing w:after="0" w:line="273" w:lineRule="auto"/>
        <w:tabs>
          <w:tab w:leader="none" w:pos="2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purchase date. The length of the enrollment period is 6 months. Enrollment dates are the first business day of May and November. Under the ESPP, we issued 193,841, 125,727, and 71,499 shares in 2020, 2019 and 2018, respectively. The weighted-average exercise price per share of the purchase rights exercised during 2020, 2019 and 2018 was $11.95, $16.77 and $16.48, respectively. As of December 31, 2020, 598,750 shares of common stock have been issued under the ESPP and 176,250 shares of common stock are available for future issuance.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We currently have one stock option plan from which we can grant options and restricted stock awards to employees, officers, directors and consultants. In December 2007, the stockholders approved our 2007 Amended and Restated Equity Incentive Plan (“2007 Plan”) at which time a maximum of 150,000 shares of common stock were available for grant. In May 2010, June 2011, May 2014, May 2015, June 2016, June 2017 and June 2019, our stockholders approved amendments to our 2007 Plan to increase the maximum number of shares of common stock available for grant by 100,000, 4,500,000, 1,750,000, 4,300,000, 3,000,000, 5,000,000 and 7,000,000 shares of common stock, respectively, resulting in an aggregate of 25,800,000 shares of common stock authorized for issuance as of December 31, 2020. At December 31, 2020, there were 1,575,955 shares available for future grant under the 2007 Plan. Any shares that are issuable on exercise of options granted that expire, are cancelled or that we receive pursuant to a net exercise of options are available for future grant and issuance.</w:t>
      </w:r>
    </w:p>
    <w:p>
      <w:pPr>
        <w:spacing w:after="0" w:line="70"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In 2014, 2013 and 2012, we granted options to certain employees outside of our stockholder approved stock option plans. All options to purchase our common stock were granted with an exercise price that equals fair market value of the underlying common stock on the grant dates and expire no later than 10 years from the date of grant. The options are exercisable in accordance with vesting schedules that generally provide for them to be fully vested and exercisable 4 years after the date of grant, provided, however, that we have also issued stock options awards that are subject to performance vesting requirements. All stock option grants issued outside of our stockholder approved plans have been registered on Form S-8 with the SEC.</w:t>
      </w:r>
    </w:p>
    <w:p>
      <w:pPr>
        <w:spacing w:after="0" w:line="53"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In 2020, we began granting restricted stock units (“RSUs”) to employees and non-employee directors pursuant to the 2007 Plan. We satisfy such grants through the issuance of new shares upon vesting.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01" w:name="page102"/>
    <w:bookmarkEnd w:id="101"/>
    <w:p>
      <w:pPr>
        <w:ind w:left="600"/>
        <w:spacing w:after="0"/>
        <w:rPr>
          <w:sz w:val="20"/>
          <w:szCs w:val="20"/>
          <w:color w:val="auto"/>
        </w:rPr>
      </w:pPr>
      <w:r>
        <w:rPr>
          <w:rFonts w:ascii="Arial" w:cs="Arial" w:eastAsia="Arial" w:hAnsi="Arial"/>
          <w:sz w:val="18"/>
          <w:szCs w:val="18"/>
          <w:color w:val="auto"/>
        </w:rPr>
        <w:t>The following table summarizes the stock option plan activity (including RSUs):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5"/>
          </w:tcPr>
          <w:p>
            <w:pPr>
              <w:ind w:left="1060"/>
              <w:spacing w:after="0"/>
              <w:rPr>
                <w:sz w:val="20"/>
                <w:szCs w:val="20"/>
                <w:color w:val="auto"/>
              </w:rPr>
            </w:pPr>
            <w:r>
              <w:rPr>
                <w:rFonts w:ascii="Arial" w:cs="Arial" w:eastAsia="Arial" w:hAnsi="Arial"/>
                <w:sz w:val="14"/>
                <w:szCs w:val="14"/>
                <w:b w:val="1"/>
                <w:bCs w:val="1"/>
                <w:color w:val="auto"/>
              </w:rPr>
              <w:t>Outstanding Options</w:t>
            </w:r>
          </w:p>
        </w:tc>
      </w:tr>
      <w:tr>
        <w:trPr>
          <w:trHeight w:val="146"/>
        </w:trPr>
        <w:tc>
          <w:tcPr>
            <w:tcW w:w="77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94"/>
              <w:spacing w:after="0" w:line="147"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13,462,964</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4,052,011</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(1,529,509)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(720,859)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15,264,607</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4,933,480</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(1,983,221)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(1,550,226)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16,664,640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4,659,942</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(544,441)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(1,264,871)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19,515,270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For the year ended December 31, 2020, equity awards cancelled (included in the above table) consisted of 922,578 options and RSUs forfeited with a weighted-average exercise price of $22.76 and 342,293 options expired with a weighted-average exercise price of $23.04.</w:t>
      </w:r>
    </w:p>
    <w:p>
      <w:pPr>
        <w:spacing w:after="0" w:line="146"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As of December 31, 2020, options exercisable have a weighted-average remaining contractual term of 5.7 years. The total intrinsic value of stock option exercises, which is the difference between the exercise price and closing price of our common stock on the date of exercise, during the years ended December 31, 2020 and 2019 was $3.2 million and $25.0 million, respectively. As of December 31, 2020 and 2019, the total intrinsic value of options outstanding and exercisable was $69.1 million and $56.3 million,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60" w:type="dxa"/>
            <w:vAlign w:val="bottom"/>
          </w:tcPr>
          <w:p>
            <w:pPr>
              <w:spacing w:after="0"/>
              <w:rPr>
                <w:sz w:val="13"/>
                <w:szCs w:val="13"/>
                <w:color w:val="auto"/>
              </w:rPr>
            </w:pPr>
          </w:p>
        </w:tc>
        <w:tc>
          <w:tcPr>
            <w:tcW w:w="1240" w:type="dxa"/>
            <w:vAlign w:val="bottom"/>
            <w:tcBorders>
              <w:bottom w:val="single" w:sz="8" w:color="auto"/>
            </w:tcBorders>
            <w:gridSpan w:val="4"/>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4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Average</w:t>
            </w:r>
          </w:p>
        </w:tc>
      </w:tr>
      <w:tr>
        <w:trPr>
          <w:trHeight w:val="162"/>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Exercise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466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right"/>
              <w:ind w:right="161"/>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end of year</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10,237,202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7,436,379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6,523,093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Options vested or expected to vest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18,179,553</w:t>
            </w: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15,962,432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14,449,017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0"/>
                <w:szCs w:val="20"/>
                <w:color w:val="auto"/>
              </w:rPr>
            </w:pPr>
          </w:p>
        </w:tc>
      </w:tr>
      <w:tr>
        <w:trPr>
          <w:trHeight w:val="647"/>
        </w:trPr>
        <w:tc>
          <w:tcPr>
            <w:tcW w:w="46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color w:val="auto"/>
        </w:rPr>
        <w:t>Exercise prices and weighted-average remaining contractual lives for the options outstanding as of December 31, 2020 were: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r>
      <w:tr>
        <w:trPr>
          <w:trHeight w:val="162"/>
        </w:trPr>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 of</w:t>
            </w:r>
          </w:p>
        </w:tc>
      </w:tr>
      <w:tr>
        <w:trPr>
          <w:trHeight w:val="162"/>
        </w:trPr>
        <w:tc>
          <w:tcPr>
            <w:tcW w:w="1540" w:type="dxa"/>
            <w:vAlign w:val="bottom"/>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Range of</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86"/>
              </w:rPr>
              <w:t>Exercise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r>
      <w:tr>
        <w:trPr>
          <w:trHeight w:val="171"/>
        </w:trPr>
        <w:tc>
          <w:tcPr>
            <w:tcW w:w="1540" w:type="dxa"/>
            <w:vAlign w:val="bottom"/>
          </w:tcPr>
          <w:p>
            <w:pPr>
              <w:jc w:val="right"/>
              <w:ind w:right="294"/>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Pr>
          <w:p>
            <w:pPr>
              <w:spacing w:after="0"/>
              <w:rPr>
                <w:sz w:val="14"/>
                <w:szCs w:val="14"/>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Exercise Prices</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Life (in years)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314"/>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Exercisable</w:t>
            </w:r>
          </w:p>
        </w:tc>
      </w:tr>
      <w:tr>
        <w:trPr>
          <w:trHeight w:val="223"/>
        </w:trPr>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2,700,473</w:t>
            </w:r>
          </w:p>
        </w:tc>
        <w:tc>
          <w:tcPr>
            <w:tcW w:w="30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$5.20–$13.00</w:t>
            </w:r>
          </w:p>
        </w:tc>
        <w:tc>
          <w:tcPr>
            <w:tcW w:w="1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3.97</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10.14</w:t>
            </w:r>
          </w:p>
        </w:tc>
        <w:tc>
          <w:tcPr>
            <w:tcW w:w="2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2,691,327</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540" w:type="dxa"/>
            <w:vAlign w:val="bottom"/>
          </w:tcPr>
          <w:p>
            <w:pPr>
              <w:jc w:val="right"/>
              <w:spacing w:after="0"/>
              <w:rPr>
                <w:sz w:val="20"/>
                <w:szCs w:val="20"/>
                <w:color w:val="auto"/>
              </w:rPr>
            </w:pPr>
            <w:r>
              <w:rPr>
                <w:rFonts w:ascii="Arial" w:cs="Arial" w:eastAsia="Arial" w:hAnsi="Arial"/>
                <w:sz w:val="18"/>
                <w:szCs w:val="18"/>
                <w:color w:val="auto"/>
              </w:rPr>
              <w:t>800,371</w:t>
            </w:r>
          </w:p>
        </w:tc>
        <w:tc>
          <w:tcPr>
            <w:tcW w:w="300" w:type="dxa"/>
            <w:vAlign w:val="bottom"/>
          </w:tcPr>
          <w:p>
            <w:pPr>
              <w:spacing w:after="0"/>
              <w:rPr>
                <w:sz w:val="19"/>
                <w:szCs w:val="19"/>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$13.05–$15.55</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6.13</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14.31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655,173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r>
      <w:tr>
        <w:trPr>
          <w:trHeight w:val="229"/>
        </w:trPr>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3,582,407</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9.75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15.72</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149,197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FF0FC"/>
          </w:tcPr>
          <w:p>
            <w:pPr>
              <w:spacing w:after="0"/>
              <w:rPr>
                <w:sz w:val="19"/>
                <w:szCs w:val="19"/>
                <w:color w:val="auto"/>
              </w:rPr>
            </w:pPr>
          </w:p>
        </w:tc>
      </w:tr>
      <w:tr>
        <w:trPr>
          <w:trHeight w:val="230"/>
        </w:trPr>
        <w:tc>
          <w:tcPr>
            <w:tcW w:w="1540" w:type="dxa"/>
            <w:vAlign w:val="bottom"/>
          </w:tcPr>
          <w:p>
            <w:pPr>
              <w:jc w:val="right"/>
              <w:spacing w:after="0"/>
              <w:rPr>
                <w:sz w:val="20"/>
                <w:szCs w:val="20"/>
                <w:color w:val="auto"/>
              </w:rPr>
            </w:pPr>
            <w:r>
              <w:rPr>
                <w:rFonts w:ascii="Arial" w:cs="Arial" w:eastAsia="Arial" w:hAnsi="Arial"/>
                <w:sz w:val="18"/>
                <w:szCs w:val="18"/>
                <w:color w:val="auto"/>
              </w:rPr>
              <w:t>2,838,033</w:t>
            </w:r>
          </w:p>
        </w:tc>
        <w:tc>
          <w:tcPr>
            <w:tcW w:w="300" w:type="dxa"/>
            <w:vAlign w:val="bottom"/>
          </w:tcPr>
          <w:p>
            <w:pPr>
              <w:spacing w:after="0"/>
              <w:rPr>
                <w:sz w:val="19"/>
                <w:szCs w:val="19"/>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$15.78–$17.89</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6.10</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16.87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2,348,090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r>
      <w:tr>
        <w:trPr>
          <w:trHeight w:val="229"/>
        </w:trPr>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3,688,255</w:t>
            </w:r>
          </w:p>
        </w:tc>
        <w:tc>
          <w:tcPr>
            <w:tcW w:w="30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$18.00–$24.97</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7.15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22.97</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2,036,430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FF0FC"/>
          </w:tcPr>
          <w:p>
            <w:pPr>
              <w:spacing w:after="0"/>
              <w:rPr>
                <w:sz w:val="19"/>
                <w:szCs w:val="19"/>
                <w:color w:val="auto"/>
              </w:rPr>
            </w:pPr>
          </w:p>
        </w:tc>
      </w:tr>
      <w:tr>
        <w:trPr>
          <w:trHeight w:val="230"/>
        </w:trPr>
        <w:tc>
          <w:tcPr>
            <w:tcW w:w="1540" w:type="dxa"/>
            <w:vAlign w:val="bottom"/>
          </w:tcPr>
          <w:p>
            <w:pPr>
              <w:jc w:val="right"/>
              <w:spacing w:after="0"/>
              <w:rPr>
                <w:sz w:val="20"/>
                <w:szCs w:val="20"/>
                <w:color w:val="auto"/>
              </w:rPr>
            </w:pPr>
            <w:r>
              <w:rPr>
                <w:rFonts w:ascii="Arial" w:cs="Arial" w:eastAsia="Arial" w:hAnsi="Arial"/>
                <w:sz w:val="18"/>
                <w:szCs w:val="18"/>
                <w:color w:val="auto"/>
              </w:rPr>
              <w:t>3,498,912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8.63</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25.02</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1,010,859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9"/>
                <w:szCs w:val="19"/>
                <w:color w:val="auto"/>
              </w:rPr>
            </w:pPr>
          </w:p>
        </w:tc>
      </w:tr>
      <w:tr>
        <w:trPr>
          <w:trHeight w:val="229"/>
        </w:trPr>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1,804,078</w:t>
            </w:r>
          </w:p>
        </w:tc>
        <w:tc>
          <w:tcPr>
            <w:tcW w:w="30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$25.06–$39.00</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6.64</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30.58</w:t>
            </w:r>
          </w:p>
        </w:tc>
        <w:tc>
          <w:tcPr>
            <w:tcW w:w="28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1,346,126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FF0FC"/>
          </w:tcPr>
          <w:p>
            <w:pPr>
              <w:spacing w:after="0"/>
              <w:rPr>
                <w:sz w:val="19"/>
                <w:szCs w:val="19"/>
                <w:color w:val="auto"/>
              </w:rPr>
            </w:pPr>
          </w:p>
        </w:tc>
      </w:tr>
      <w:tr>
        <w:trPr>
          <w:trHeight w:val="223"/>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18,912,529</w:t>
            </w: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7.21</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19.59</w:t>
            </w:r>
          </w:p>
        </w:tc>
        <w:tc>
          <w:tcPr>
            <w:tcW w:w="2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10,237,202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On December 31, 2020, we had reserved 19,515,270 shares of common stock for future issuance on exercise of outstanding options and vesting of outstanding restricted stock units granted under the 2007 Plan, as well as the non-plan grants.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Expense Information</w:t>
      </w:r>
    </w:p>
    <w:p>
      <w:pPr>
        <w:spacing w:after="0" w:line="11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stock-based payment awards pursuant to our equity compensation arrangements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80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20,731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13,689</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15,601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13,886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6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50,218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33,367</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As of December 31, 2020, there was $116.1 million of total unrecognized compensation cost related to non-vested, stock-based payment awards granted under all of our equity compensation plans and all non-plan option grants. Total unrecognized compensation cost will be adjusted for future changes in estimated forfeitures. We expect to recognize this compensation cost over a weighted-average period of 2.8 years.</w:t>
      </w:r>
    </w:p>
    <w:p>
      <w:pPr>
        <w:spacing w:after="0" w:line="16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fair value of RSUs is estimated based on the closing market price of our common stock on the date of the grant. RSUs generally vest quarterly over a four-year period.</w:t>
      </w:r>
    </w:p>
    <w:p>
      <w:pPr>
        <w:spacing w:after="0" w:line="170"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We estimated the fair value of each option grant and ESPP purchase right on the date of grant using the Black-Scholes option pricing model with the following weighted-average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325"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69.4%</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66.5%</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70.4%</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r>
      <w:tr>
        <w:trPr>
          <w:trHeight w:val="647"/>
        </w:trPr>
        <w:tc>
          <w:tcPr>
            <w:tcW w:w="6520" w:type="dxa"/>
            <w:vAlign w:val="bottom"/>
          </w:tcPr>
          <w:p>
            <w:pPr>
              <w:ind w:left="5480"/>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ESPP:</w:t>
      </w:r>
    </w:p>
    <w:p>
      <w:pPr>
        <w:spacing w:after="0" w:line="325"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29"/>
        </w:trPr>
        <w:tc>
          <w:tcPr>
            <w:tcW w:w="7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52.1%</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59.7%</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Expected life (months)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The weighted-average fair value of options granted was $9.76, $14.70 and $17.24 for the years ended December 31, 2020, 2019 and 2018, respectively.</w:t>
      </w:r>
    </w:p>
    <w:p>
      <w:pPr>
        <w:spacing w:after="0" w:line="170"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weighted-average fair value of shares purchased through the ESPP was $5.18, $5.94 and $9.95 for the years ended December 31, 2020, 2019 and 2018, respectively.</w:t>
      </w:r>
    </w:p>
    <w:p>
      <w:pPr>
        <w:spacing w:after="0" w:line="17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risk-free interest rate assumption is based on observed interest rates on U.S. Treasury debt securities with maturities close to the expected term of our employee and director stock options and ESPP purchases.</w:t>
      </w:r>
    </w:p>
    <w:p>
      <w:pPr>
        <w:spacing w:after="0" w:line="170"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dividend yield assumption is based on our history and expectation of dividend payouts. We have never paid dividends on our common stock, and we do not anticipate paying dividends in the foreseeable future.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used our historical stock price to estimate volatility.</w:t>
      </w:r>
    </w:p>
    <w:p>
      <w:pPr>
        <w:spacing w:after="0" w:line="225"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The expected life of employee and director stock options represents the average of the contractual term of the options and the weighted-average vesting period, as permitted under the simplified method. We have elected to use the simplified method, as we do not have enough historical exercise experience to provide a reasonable basis on which to estimate the expected term. The expected life for the ESPP purchase rights is 6 months, which represents the length of each purchase period.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4" w:name="page105"/>
    <w:bookmarkEnd w:id="104"/>
    <w:p>
      <w:pPr>
        <w:ind w:left="580" w:hanging="572"/>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For the years ended December 31, 2020, 2019 and 2018, we did not record a provision for income taxes due to a full valuation allowance against our deferred tax assets.</w:t>
      </w:r>
    </w:p>
    <w:p>
      <w:pPr>
        <w:spacing w:after="0" w:line="170"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difference between the provision for income taxes and income taxes computed using the effective U.S. federal statutory rate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Tax at statutory federal rate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(37,557)</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(8,218)</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(9,823)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(6,527)</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(4,327)</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(4,855)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(4,775)</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(2,059)</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Non-deductible compensation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50,834</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(817)</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Deferred income tax assets and liabilities arising from differences between accounting for financial statement purposes and tax purposes, less valuation allowance at year-end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251,971</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210,301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20,211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329,972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275,724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lease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(4,014)</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(3,385)</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(325,958)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(272,339)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We have established a valuation allowance to offset net deferred tax assets as of December 31, 2020 and 2019 due to the uncertainty of realizing future tax benefits from such assets.</w:t>
      </w:r>
    </w:p>
    <w:p>
      <w:pPr>
        <w:spacing w:after="0" w:line="170"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As of December 31, 2020, we had federal, California and other state net operating loss (“NOL”) carryforwards of $1.0 billion, $111.9 million and $515.5 million, respectively. The federal NOL carryforwards consist of $549.7 million generated before January 1, 2018, which will begin to expire in 2021, and $492.0 million that can be carried forward indefinitely, but are subject to the 80% taxable income limitation. The state NOL carryforwards will begin to expire in 2028.</w:t>
      </w:r>
    </w:p>
    <w:p>
      <w:pPr>
        <w:spacing w:after="0" w:line="18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As of December 31, 2020, we had federal and state research and development credit carryforwards of $39.4 million and $18.1 million, respectively. The federal research and development credit carryforwards will begin to expire in 2022. The state research and development credit carryforwards will begin to expire in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ind w:right="20" w:firstLine="589"/>
        <w:spacing w:after="0" w:line="254" w:lineRule="auto"/>
        <w:rPr>
          <w:sz w:val="20"/>
          <w:szCs w:val="20"/>
          <w:color w:val="auto"/>
        </w:rPr>
      </w:pPr>
      <w:r>
        <w:rPr>
          <w:rFonts w:ascii="Arial" w:cs="Arial" w:eastAsia="Arial" w:hAnsi="Arial"/>
          <w:sz w:val="18"/>
          <w:szCs w:val="18"/>
          <w:color w:val="auto"/>
        </w:rPr>
        <w:t>Internal Revenue Code (“IRC”) Sections 382 and 383 place a limitation on the amount of taxable income that can be offset by NOL and credit carryforwards after a change in control (generally greater than 50% change in ownership within a three-year period) of a loss corporation. Generally, after a change in control, a loss corporation cannot deduct NOL and credit carryforwards in excess of the IRC Sections 382 and 383 limitation. State jurisdictions have similar rules. We have previously performed an analysis of IRC Sections 382 and 383 through 2018 and determined there were ownership changes in 2007, 2011 and 2013. We are currently in the process of updating our IRC Sections 382 and 383 analysis through 2020. The limitation in the federal and state NOL and research and development credit carryforwards that expire unused would reduce the deferred tax assets, which are fully offset by a valuation allowance.</w:t>
      </w:r>
    </w:p>
    <w:p>
      <w:pPr>
        <w:spacing w:after="0" w:line="195"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We file U.S. and state income tax returns with varying statutes of limitations. The tax years from 2002 to 2020 remain open to examination due to the carryover of unused NOL carryforwards and tax credits.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our unrecognized tax benefits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Additions for tax positions of prior years</w:t>
            </w: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based on tax positions related to current year</w:t>
            </w:r>
          </w:p>
        </w:tc>
        <w:tc>
          <w:tcPr>
            <w:tcW w:w="1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2,281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7,406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Due to our valuation allowance, the $7.4 million of unrecognized tax benefits would not affect the effective tax rate, if recognized. It is the Company’s practice to recognize interest and penalties related to income tax matters in income tax expense. As of December 31, 2020, we had no accrued interest and penalties related to uncertain tax positions. We do not expect any material changes to the estimated amount of liability associated with our uncertain tax positions within the next 12 months.</w:t>
      </w:r>
    </w:p>
    <w:p>
      <w:pPr>
        <w:spacing w:after="0" w:line="187" w:lineRule="exact"/>
        <w:rPr>
          <w:sz w:val="20"/>
          <w:szCs w:val="20"/>
          <w:color w:val="auto"/>
        </w:rPr>
      </w:pPr>
    </w:p>
    <w:p>
      <w:pPr>
        <w:ind w:right="20" w:firstLine="540"/>
        <w:spacing w:after="0" w:line="290" w:lineRule="auto"/>
        <w:rPr>
          <w:sz w:val="20"/>
          <w:szCs w:val="20"/>
          <w:color w:val="auto"/>
        </w:rPr>
      </w:pPr>
      <w:r>
        <w:rPr>
          <w:rFonts w:ascii="Arial" w:cs="Arial" w:eastAsia="Arial" w:hAnsi="Arial"/>
          <w:sz w:val="16"/>
          <w:szCs w:val="16"/>
          <w:color w:val="auto"/>
        </w:rPr>
        <w:t>On March 27, 2020, the Coronavirus Aid, Relief and Economic Security Act (“CARES Act”) was enacted and signed into law in response to the COVID-19 pandemic.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in the deductibility of interest, acceleration of alternative minimum tax credit refunds, payroll tax relief, technical corrections on net operating loss carryforwards for fiscal year taxpayers and allows accelerated deduction qualified improvement property. The CARES Act also provides other non-tax benefits to assist those impacted by the pandemic. We evaluated the impact of the CARES Act and determined that there was no material impact for the year ended December 31, 2020.</w:t>
      </w:r>
    </w:p>
    <w:p>
      <w:pPr>
        <w:spacing w:after="0" w:line="165" w:lineRule="exact"/>
        <w:rPr>
          <w:sz w:val="20"/>
          <w:szCs w:val="20"/>
          <w:color w:val="auto"/>
        </w:rPr>
      </w:pPr>
    </w:p>
    <w:p>
      <w:pPr>
        <w:ind w:right="100" w:firstLine="540"/>
        <w:spacing w:after="0" w:line="254" w:lineRule="auto"/>
        <w:rPr>
          <w:sz w:val="20"/>
          <w:szCs w:val="20"/>
          <w:color w:val="auto"/>
        </w:rPr>
      </w:pPr>
      <w:r>
        <w:rPr>
          <w:rFonts w:ascii="Arial" w:cs="Arial" w:eastAsia="Arial" w:hAnsi="Arial"/>
          <w:sz w:val="18"/>
          <w:szCs w:val="18"/>
          <w:color w:val="auto"/>
        </w:rPr>
        <w:t>On June 29, 2020, California Assembly Bill 85 was signed into law. The legislation suspends the California net operating loss deductions for 2020, 2021, and 2022 for certain taxpayers and imposes a limitation of certain California tax credits for 2020, 2021, and 2022. The legislation disallows the use of California net operating loss deductions if the taxpayer recognizes business income and its adjusted gross income is greater than $1,000,000. The carryover periods for net operating loss deductions disallowed by this provision will be extended. Additionally, any business credit will only offset a maximum of $5,000,000 of California tax. Given our loss position in the current year, the new legislation did not impact the current year provision or our financial statements for the year ended December 31, 2020. We will continue to monitor possible California net operating loss and credit limitations in future periods.</w:t>
      </w:r>
    </w:p>
    <w:p>
      <w:pPr>
        <w:spacing w:after="0" w:line="195" w:lineRule="exact"/>
        <w:rPr>
          <w:sz w:val="20"/>
          <w:szCs w:val="20"/>
          <w:color w:val="auto"/>
        </w:rPr>
      </w:pPr>
    </w:p>
    <w:p>
      <w:pPr>
        <w:ind w:right="100" w:firstLine="540"/>
        <w:spacing w:after="0" w:line="279" w:lineRule="auto"/>
        <w:rPr>
          <w:sz w:val="20"/>
          <w:szCs w:val="20"/>
          <w:color w:val="auto"/>
        </w:rPr>
      </w:pPr>
      <w:r>
        <w:rPr>
          <w:rFonts w:ascii="Arial" w:cs="Arial" w:eastAsia="Arial" w:hAnsi="Arial"/>
          <w:sz w:val="17"/>
          <w:szCs w:val="17"/>
          <w:color w:val="auto"/>
        </w:rPr>
        <w:t>On December 27, 2020, the “Consolidated Appropriations Act, 2021” was enacted and signed into law to further COVID-19 economic relief and extend certain expiring tax provisions. The relief package includes a tax provision clarifying that businesses with forgiven PPP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and beverages provided by a restaurant. The provisions did not have a material impact on our financial statements for the year ended December 31, 2020.</w:t>
      </w:r>
    </w:p>
    <w:p>
      <w:pPr>
        <w:spacing w:after="0" w:line="244"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In 2018, we recorded $1.9 million in income to other income (expense), net resulting from the disgorgement of short-swing profits arising from the sales of our common stock by a beneficial owner pursuant to Section 16(b) of the Securities and Exchange Act of 1934.</w:t>
      </w:r>
    </w:p>
    <w:p>
      <w:pPr>
        <w:spacing w:after="0" w:line="166"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We have a defined contribution 401(k) plan (“Plan”) covering substantially all of our employees. In the past three calendar years, we made matching cash contributions equal to 50% of each participant’s contribution during the Plan year up to a maximum amount equal to the lesser of 3% of each participant’s annual compensation or $8,550, $8,400 and $8,250 for the years ended December 31, 2020, 2019 and 2018, respectively. Such amounts were recorded as expense in the corresponding years. We may also contribute additional discretionary amounts to the Plan as we determine. For the years ended December 31, 2020, 2019 and 2018, we contributed $1.1 million, $1.0 million and $0.7 million, respectively, to the Plan. No discretionary contributions have been made to the Plan since its inception.</w:t>
      </w:r>
    </w:p>
    <w:p>
      <w:pPr>
        <w:spacing w:after="0" w:line="188"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Consolidated Financial Data (Unaudited)</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unaudited quarterly results of operations for the years ended December 31,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1"/>
                <w:szCs w:val="11"/>
                <w:color w:val="auto"/>
              </w:rPr>
            </w:pPr>
          </w:p>
        </w:tc>
        <w:tc>
          <w:tcPr>
            <w:tcW w:w="110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7"/>
          </w:tcPr>
          <w:p>
            <w:pPr>
              <w:ind w:left="100"/>
              <w:spacing w:after="0" w:line="155" w:lineRule="exact"/>
              <w:rPr>
                <w:sz w:val="20"/>
                <w:szCs w:val="20"/>
                <w:color w:val="auto"/>
              </w:rPr>
            </w:pPr>
            <w:r>
              <w:rPr>
                <w:rFonts w:ascii="Arial" w:cs="Arial" w:eastAsia="Arial" w:hAnsi="Arial"/>
                <w:sz w:val="14"/>
                <w:szCs w:val="14"/>
                <w:b w:val="1"/>
                <w:bCs w:val="1"/>
                <w:color w:val="auto"/>
                <w:w w:val="95"/>
              </w:rPr>
              <w:t>(In thousands, except per share amounts)</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25,400</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22,668</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19,965</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(9,005)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(7,170)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13,663</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Sales and marketing</w:t>
            </w:r>
          </w:p>
        </w:tc>
        <w:tc>
          <w:tcPr>
            <w:tcW w:w="1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1"/>
                <w:szCs w:val="11"/>
                <w:color w:val="auto"/>
              </w:rPr>
            </w:pPr>
          </w:p>
        </w:tc>
        <w:tc>
          <w:tcPr>
            <w:tcW w:w="110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7"/>
          </w:tcPr>
          <w:p>
            <w:pPr>
              <w:ind w:left="100"/>
              <w:spacing w:after="0" w:line="155" w:lineRule="exact"/>
              <w:rPr>
                <w:sz w:val="20"/>
                <w:szCs w:val="20"/>
                <w:color w:val="auto"/>
              </w:rPr>
            </w:pPr>
            <w:r>
              <w:rPr>
                <w:rFonts w:ascii="Arial" w:cs="Arial" w:eastAsia="Arial" w:hAnsi="Arial"/>
                <w:sz w:val="14"/>
                <w:szCs w:val="14"/>
                <w:b w:val="1"/>
                <w:bCs w:val="1"/>
                <w:color w:val="auto"/>
                <w:w w:val="95"/>
              </w:rPr>
              <w:t>(In thousands, except per share amounts)</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31,602</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36,659</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42,624</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(13,588)</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(17,195)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Sales and marketing</w:t>
            </w:r>
          </w:p>
        </w:tc>
        <w:tc>
          <w:tcPr>
            <w:tcW w:w="1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(63,012)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160" w:hanging="572"/>
        <w:spacing w:after="0"/>
        <w:tabs>
          <w:tab w:leader="none" w:pos="11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Disclosure Controls and Procedures; Changes in Internal Control Over Financial Reporting</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management, with the participation of our principal executive and principal financial and accounting officers, has evaluated the effectiveness of our disclosure controls and procedures (as defined in Rules 13a-15(e) and 15d-15(e) under the Securities Exchange Act of 1934 (“Exchange Act”)) as of December 31, 2020. Based on this evaluation, our principal executive and principal financial and accounting officers concluded that our disclosure controls and procedures were effective as of December 31, 2020.</w:t>
      </w:r>
    </w:p>
    <w:p>
      <w:pPr>
        <w:spacing w:after="0" w:line="187" w:lineRule="exact"/>
        <w:rPr>
          <w:sz w:val="20"/>
          <w:szCs w:val="20"/>
          <w:color w:val="auto"/>
        </w:rPr>
      </w:pPr>
    </w:p>
    <w:p>
      <w:pPr>
        <w:ind w:right="400" w:firstLine="589"/>
        <w:spacing w:after="0" w:line="308" w:lineRule="auto"/>
        <w:rPr>
          <w:sz w:val="20"/>
          <w:szCs w:val="20"/>
          <w:color w:val="auto"/>
        </w:rPr>
      </w:pPr>
      <w:r>
        <w:rPr>
          <w:rFonts w:ascii="Arial" w:cs="Arial" w:eastAsia="Arial" w:hAnsi="Arial"/>
          <w:sz w:val="17"/>
          <w:szCs w:val="17"/>
          <w:color w:val="auto"/>
        </w:rPr>
        <w:t>There have been no significant changes in our internal control over financial reporting that occurred during the period covered by this Annual Report on Form 10-K that has materially affected, or is reasonably likely to materially affect, our internal control over financial reporting.</w:t>
      </w:r>
    </w:p>
    <w:p>
      <w:pPr>
        <w:spacing w:after="0" w:line="254" w:lineRule="exact"/>
        <w:rPr>
          <w:sz w:val="20"/>
          <w:szCs w:val="20"/>
          <w:color w:val="auto"/>
        </w:rPr>
      </w:pPr>
    </w:p>
    <w:p>
      <w:pPr>
        <w:ind w:left="1160" w:hanging="572"/>
        <w:spacing w:after="0"/>
        <w:tabs>
          <w:tab w:leader="none" w:pos="11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Report on Internal Control Over Financial Reporting</w:t>
      </w:r>
    </w:p>
    <w:p>
      <w:pPr>
        <w:spacing w:after="0" w:line="117"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and Rule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U.S. and includes those policies and procedures that:</w:t>
      </w:r>
    </w:p>
    <w:p>
      <w:pPr>
        <w:spacing w:after="0" w:line="136" w:lineRule="exact"/>
        <w:rPr>
          <w:sz w:val="20"/>
          <w:szCs w:val="20"/>
          <w:color w:val="auto"/>
        </w:rPr>
      </w:pPr>
    </w:p>
    <w:p>
      <w:pPr>
        <w:ind w:left="1020" w:hanging="432"/>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07" w:lineRule="exact"/>
        <w:rPr>
          <w:rFonts w:ascii="Arial" w:cs="Arial" w:eastAsia="Arial" w:hAnsi="Arial"/>
          <w:sz w:val="16"/>
          <w:szCs w:val="16"/>
          <w:color w:val="auto"/>
        </w:rPr>
      </w:pPr>
    </w:p>
    <w:p>
      <w:pPr>
        <w:ind w:left="1020" w:right="340" w:hanging="432"/>
        <w:spacing w:after="0" w:line="263"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 and that receipts and expenditures are being made only in accordance with authorizations of our management and directors; and</w:t>
      </w:r>
    </w:p>
    <w:p>
      <w:pPr>
        <w:spacing w:after="0" w:line="143"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2020. In making this assessment, our management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w:t>
      </w:r>
    </w:p>
    <w:p>
      <w:pPr>
        <w:spacing w:after="0" w:line="184"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Based on our assessment, management concluded that, as of December 31, 2020, our internal control over financial reporting was effective based on those criteria.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9" w:name="page110"/>
    <w:bookmarkEnd w:id="109"/>
    <w:p>
      <w:pPr>
        <w:ind w:right="280" w:firstLine="589"/>
        <w:spacing w:after="0" w:line="277" w:lineRule="auto"/>
        <w:rPr>
          <w:sz w:val="20"/>
          <w:szCs w:val="20"/>
          <w:color w:val="auto"/>
        </w:rPr>
      </w:pPr>
      <w:r>
        <w:rPr>
          <w:rFonts w:ascii="Arial" w:cs="Arial" w:eastAsia="Arial" w:hAnsi="Arial"/>
          <w:sz w:val="18"/>
          <w:szCs w:val="18"/>
          <w:color w:val="auto"/>
        </w:rPr>
        <w:t>The independent registered public accounting firm that audited the consolidated financial statements that are included in this Annual Report on Form 10-K has issued an audit report on our internal control over financial reporting. The report appears below.</w:t>
      </w:r>
    </w:p>
    <w:p>
      <w:pPr>
        <w:spacing w:after="0" w:line="278" w:lineRule="exact"/>
        <w:rPr>
          <w:sz w:val="20"/>
          <w:szCs w:val="20"/>
          <w:color w:val="auto"/>
        </w:rPr>
      </w:pPr>
    </w:p>
    <w:p>
      <w:pPr>
        <w:ind w:left="1160" w:hanging="572"/>
        <w:spacing w:after="0"/>
        <w:tabs>
          <w:tab w:leader="none" w:pos="11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Heron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 xml:space="preserve">We have audited Heron Therapeutics, Inc.’s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2020,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loss, stockholders’ equity (deficit), and cash flows for each of the three years in the period ended December 31, 2020, and the related notes and our report dated February 24, 2021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40" w:firstLine="589"/>
        <w:spacing w:after="0" w:line="275"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Item 9A.(b), </w:t>
      </w:r>
      <w:r>
        <w:rPr>
          <w:rFonts w:ascii="Arial" w:cs="Arial" w:eastAsia="Arial" w:hAnsi="Arial"/>
          <w:sz w:val="17"/>
          <w:szCs w:val="17"/>
          <w:i w:val="1"/>
          <w:iCs w:val="1"/>
          <w:color w:val="auto"/>
        </w:rPr>
        <w:t>Management Report on Internal Control over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Our responsibility is to express an opinion on the Company’s internal control over financial reporting based on our audit. We are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31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80" w:firstLine="589"/>
        <w:spacing w:after="0" w:line="308" w:lineRule="auto"/>
        <w:rPr>
          <w:sz w:val="20"/>
          <w:szCs w:val="20"/>
          <w:color w:val="auto"/>
        </w:rPr>
      </w:pPr>
      <w:r>
        <w:rPr>
          <w:rFonts w:ascii="Arial" w:cs="Arial" w:eastAsia="Arial" w:hAnsi="Arial"/>
          <w:sz w:val="17"/>
          <w:szCs w:val="17"/>
          <w:color w:val="auto"/>
        </w:rPr>
        <w:t>Information required by this item will be contained in our Definitive Proxy Statement for our 2021 Annual Meeting of Stockholders, to be filed pursuant to Regulation 14A with the SEC within 120 days of December 31, 2020. Such information is incorporated herein by reference.</w:t>
      </w:r>
    </w:p>
    <w:p>
      <w:pPr>
        <w:spacing w:after="0" w:line="14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 xml:space="preserve">We have adopted a Code of Ethics that applies to our Principal Executive Officer, Principal Financial and Accounting Officer, and to all of our other officers, directors and employees. The Code of Ethics is available in the Corporate Governance section of the Investor Resources page on our website at </w:t>
      </w:r>
      <w:r>
        <w:rPr>
          <w:rFonts w:ascii="Arial" w:cs="Arial" w:eastAsia="Arial" w:hAnsi="Arial"/>
          <w:sz w:val="18"/>
          <w:szCs w:val="18"/>
          <w:i w:val="1"/>
          <w:iCs w:val="1"/>
          <w:color w:val="auto"/>
        </w:rPr>
        <w:t>www.herontx.com</w:t>
      </w:r>
      <w:r>
        <w:rPr>
          <w:rFonts w:ascii="Arial" w:cs="Arial" w:eastAsia="Arial" w:hAnsi="Arial"/>
          <w:sz w:val="18"/>
          <w:szCs w:val="18"/>
          <w:color w:val="auto"/>
        </w:rPr>
        <w:t>. We intend to disclose future waivers or material amendments to certain provisions of our Code of Ethics on the above-referenced website within 4 business days following the date of such waiver or amendment.</w:t>
      </w:r>
    </w:p>
    <w:p>
      <w:pPr>
        <w:spacing w:after="0" w:line="18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280" w:firstLine="589"/>
        <w:spacing w:after="0" w:line="308" w:lineRule="auto"/>
        <w:rPr>
          <w:sz w:val="20"/>
          <w:szCs w:val="20"/>
          <w:color w:val="auto"/>
        </w:rPr>
      </w:pPr>
      <w:r>
        <w:rPr>
          <w:rFonts w:ascii="Arial" w:cs="Arial" w:eastAsia="Arial" w:hAnsi="Arial"/>
          <w:sz w:val="17"/>
          <w:szCs w:val="17"/>
          <w:color w:val="auto"/>
        </w:rPr>
        <w:t>Information required by this item will be contained in our Definitive Proxy Statement for our 2021 Annual Meeting of Stockholders, to be filed pursuant to Regulation 14A with the SEC within 120 days of December 31, 2020. Such information is incorporated herein by reference.</w:t>
      </w:r>
    </w:p>
    <w:p>
      <w:pPr>
        <w:spacing w:after="0" w:line="142" w:lineRule="exact"/>
        <w:rPr>
          <w:sz w:val="20"/>
          <w:szCs w:val="20"/>
          <w:color w:val="auto"/>
        </w:rPr>
      </w:pPr>
    </w:p>
    <w:p>
      <w:pPr>
        <w:ind w:left="1180" w:right="140" w:hanging="1173"/>
        <w:spacing w:after="0" w:line="282" w:lineRule="auto"/>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280" w:firstLine="589"/>
        <w:spacing w:after="0" w:line="308" w:lineRule="auto"/>
        <w:rPr>
          <w:sz w:val="20"/>
          <w:szCs w:val="20"/>
          <w:color w:val="auto"/>
        </w:rPr>
      </w:pPr>
      <w:r>
        <w:rPr>
          <w:rFonts w:ascii="Arial" w:cs="Arial" w:eastAsia="Arial" w:hAnsi="Arial"/>
          <w:sz w:val="17"/>
          <w:szCs w:val="17"/>
          <w:color w:val="auto"/>
        </w:rPr>
        <w:t>Information required by this item will be contained in our Definitive Proxy Statement for our 2021 Annual Meeting of Stockholders, to be filed pursuant to Regulation 14A with the SEC within 120 days of December 31, 2020. Such information is incorporated herein by reference.</w:t>
      </w:r>
    </w:p>
    <w:p>
      <w:pPr>
        <w:spacing w:after="0" w:line="14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right="280" w:firstLine="589"/>
        <w:spacing w:after="0" w:line="308" w:lineRule="auto"/>
        <w:rPr>
          <w:sz w:val="20"/>
          <w:szCs w:val="20"/>
          <w:color w:val="auto"/>
        </w:rPr>
      </w:pPr>
      <w:r>
        <w:rPr>
          <w:rFonts w:ascii="Arial" w:cs="Arial" w:eastAsia="Arial" w:hAnsi="Arial"/>
          <w:sz w:val="17"/>
          <w:szCs w:val="17"/>
          <w:color w:val="auto"/>
        </w:rPr>
        <w:t>Information required by this item will be contained in our Definitive Proxy Statement for our 2021 Annual Meeting of Stockholders, to be filed pursuant to Regulation 14A with the SEC within 120 days of December 31, 2020. Such information is incorporated herein by reference.</w:t>
      </w:r>
    </w:p>
    <w:p>
      <w:pPr>
        <w:spacing w:after="0" w:line="14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80" w:firstLine="589"/>
        <w:spacing w:after="0" w:line="308" w:lineRule="auto"/>
        <w:rPr>
          <w:sz w:val="20"/>
          <w:szCs w:val="20"/>
          <w:color w:val="auto"/>
        </w:rPr>
      </w:pPr>
      <w:r>
        <w:rPr>
          <w:rFonts w:ascii="Arial" w:cs="Arial" w:eastAsia="Arial" w:hAnsi="Arial"/>
          <w:sz w:val="17"/>
          <w:szCs w:val="17"/>
          <w:color w:val="auto"/>
        </w:rPr>
        <w:t>Information required by this item will be contained in our Definitive Proxy Statement for our 2021 Annual Meeting of Stockholders, to be filed pursuant to Regulation 14A with the SEC within 120 days of December 31, 2020. Such information is incorporated herein by reference.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2" w:name="page113"/>
    <w:bookmarkEnd w:id="112"/>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44"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6"/>
          <w:szCs w:val="16"/>
          <w:color w:val="auto"/>
        </w:rPr>
        <w:t>The consolidated financial statements and supplementary data set forth in Part II of the Annual Report on Form 10-K are included herein.</w:t>
      </w:r>
    </w:p>
    <w:p>
      <w:pPr>
        <w:spacing w:after="0" w:line="140"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117" w:lineRule="exact"/>
        <w:rPr>
          <w:rFonts w:ascii="Arial" w:cs="Arial" w:eastAsia="Arial" w:hAnsi="Arial"/>
          <w:sz w:val="18"/>
          <w:szCs w:val="18"/>
          <w:color w:val="auto"/>
        </w:rPr>
      </w:pPr>
    </w:p>
    <w:p>
      <w:pPr>
        <w:ind w:left="1180" w:right="40"/>
        <w:spacing w:after="0" w:line="277" w:lineRule="auto"/>
        <w:rPr>
          <w:rFonts w:ascii="Arial" w:cs="Arial" w:eastAsia="Arial" w:hAnsi="Arial"/>
          <w:sz w:val="18"/>
          <w:szCs w:val="18"/>
          <w:color w:val="auto"/>
        </w:rPr>
      </w:pPr>
      <w:r>
        <w:rPr>
          <w:rFonts w:ascii="Arial" w:cs="Arial" w:eastAsia="Arial" w:hAnsi="Arial"/>
          <w:sz w:val="18"/>
          <w:szCs w:val="18"/>
          <w:color w:val="auto"/>
        </w:rPr>
        <w:t>These schedules are omitted because they are not required, or are not applicable, or the required information is shown in the consolidated financial statements or notes thereto.</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180"/>
        <w:spacing w:after="0" w:line="277" w:lineRule="auto"/>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incorporated by reference herein or filed as part of this Annual Report on Form 10-K.</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320" w:type="dxa"/>
            <w:vAlign w:val="bottom"/>
            <w:gridSpan w:val="3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9"/>
          </w:tcPr>
          <w:p>
            <w:pPr>
              <w:spacing w:after="0"/>
              <w:rPr>
                <w:sz w:val="20"/>
                <w:szCs w:val="20"/>
                <w:color w:val="auto"/>
              </w:rPr>
            </w:pPr>
            <w:r>
              <w:rPr>
                <w:rFonts w:ascii="Arial" w:cs="Arial" w:eastAsia="Arial" w:hAnsi="Arial"/>
                <w:sz w:val="14"/>
                <w:szCs w:val="14"/>
                <w:b w:val="1"/>
                <w:bCs w:val="1"/>
                <w:color w:val="auto"/>
              </w:rPr>
              <w:t>Document Description</w:t>
            </w:r>
          </w:p>
        </w:tc>
      </w:tr>
      <w:tr>
        <w:trPr>
          <w:trHeight w:val="169"/>
        </w:trPr>
        <w:tc>
          <w:tcPr>
            <w:tcW w:w="460" w:type="dxa"/>
            <w:vAlign w:val="bottom"/>
            <w:tcBorders>
              <w:top w:val="single" w:sz="8" w:color="auto"/>
            </w:tcBorders>
          </w:tcPr>
          <w:p>
            <w:pPr>
              <w:jc w:val="right"/>
              <w:ind w:right="51"/>
              <w:spacing w:after="0" w:line="169"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4460" w:type="dxa"/>
            <w:vAlign w:val="bottom"/>
            <w:tcBorders>
              <w:bottom w:val="single" w:sz="8" w:color="0000EE"/>
            </w:tcBorders>
            <w:gridSpan w:val="13"/>
          </w:tcPr>
          <w:p>
            <w:pPr>
              <w:spacing w:after="0" w:line="169"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Certificate of Incorporation, as amended through July 29, 2009</w:t>
              </w:r>
            </w:hyperlink>
          </w:p>
        </w:tc>
        <w:tc>
          <w:tcPr>
            <w:tcW w:w="100" w:type="dxa"/>
            <w:vAlign w:val="bottom"/>
            <w:tcBorders>
              <w:top w:val="single" w:sz="8" w:color="auto"/>
              <w:bottom w:val="single" w:sz="8" w:color="0000EE"/>
            </w:tcBorders>
          </w:tcPr>
          <w:p>
            <w:pPr>
              <w:spacing w:after="0"/>
              <w:rPr>
                <w:sz w:val="14"/>
                <w:szCs w:val="14"/>
                <w:color w:val="auto"/>
              </w:rPr>
            </w:pPr>
          </w:p>
        </w:tc>
        <w:tc>
          <w:tcPr>
            <w:tcW w:w="1280" w:type="dxa"/>
            <w:vAlign w:val="bottom"/>
            <w:tcBorders>
              <w:top w:val="single" w:sz="8" w:color="auto"/>
              <w:bottom w:val="single" w:sz="8" w:color="0000EE"/>
            </w:tcBorders>
            <w:gridSpan w:val="4"/>
          </w:tcPr>
          <w:p>
            <w:pPr>
              <w:ind w:left="20"/>
              <w:spacing w:after="0" w:line="169"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(incorporated by</w:t>
              </w:r>
            </w:hyperlink>
          </w:p>
        </w:tc>
        <w:tc>
          <w:tcPr>
            <w:tcW w:w="4000" w:type="dxa"/>
            <w:vAlign w:val="bottom"/>
            <w:tcBorders>
              <w:bottom w:val="single" w:sz="8" w:color="0000EE"/>
            </w:tcBorders>
            <w:gridSpan w:val="8"/>
          </w:tcPr>
          <w:p>
            <w:pPr>
              <w:spacing w:after="0" w:line="169"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reference to our Quarterly Report on Form 10-Q for the</w:t>
              </w:r>
            </w:hyperlink>
          </w:p>
        </w:tc>
        <w:tc>
          <w:tcPr>
            <w:tcW w:w="480" w:type="dxa"/>
            <w:vAlign w:val="bottom"/>
            <w:gridSpan w:val="16"/>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quarter ended June 30, 2009, as Exhibit 3.1, filed on August 4, 2009)</w:t>
              </w:r>
            </w:hyperlink>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3.2</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Certificate of Amendment of Certificate of Incorporation (incorporated by reference to our Current Report on Form 8-K, as Exhibit 3.1, filed</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140">
              <w:r>
                <w:rPr>
                  <w:rFonts w:ascii="Arial" w:cs="Arial" w:eastAsia="Arial" w:hAnsi="Arial"/>
                  <w:sz w:val="18"/>
                  <w:szCs w:val="18"/>
                  <w:color w:val="0000EE"/>
                  <w:w w:val="86"/>
                </w:rPr>
                <w:t>on June 30, 2011)</w:t>
              </w:r>
            </w:hyperlink>
          </w:p>
        </w:tc>
        <w:tc>
          <w:tcPr>
            <w:tcW w:w="8860" w:type="dxa"/>
            <w:vAlign w:val="bottom"/>
            <w:tcBorders>
              <w:top w:val="single" w:sz="8" w:color="0000EE"/>
            </w:tcBorders>
            <w:gridSpan w:val="32"/>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3.3</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Certificate of Amendment to the Certificate of Incorporation (incorporated by reference to our Current Report on Form 8-K, as Exhibit 3.1,</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filed on January 13, 2014)</w:t>
              </w:r>
            </w:hyperlink>
          </w:p>
        </w:tc>
        <w:tc>
          <w:tcPr>
            <w:tcW w:w="300" w:type="dxa"/>
            <w:vAlign w:val="bottom"/>
            <w:gridSpan w:val="13"/>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3.4</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Certificate of Amendment to the Certificate of Incorporation (incorporated by reference to our Company’s Post-Effective Amendment to its</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Registration Statement on Form 8-A/A, filed on July 6, 2017)</w:t>
              </w:r>
            </w:hyperlink>
          </w:p>
        </w:tc>
        <w:tc>
          <w:tcPr>
            <w:tcW w:w="5600" w:type="dxa"/>
            <w:vAlign w:val="bottom"/>
            <w:tcBorders>
              <w:top w:val="single" w:sz="8" w:color="0000EE"/>
            </w:tcBorders>
            <w:gridSpan w:val="18"/>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3.5</w:t>
            </w:r>
          </w:p>
        </w:tc>
        <w:tc>
          <w:tcPr>
            <w:tcW w:w="460" w:type="dxa"/>
            <w:vAlign w:val="bottom"/>
          </w:tcPr>
          <w:p>
            <w:pPr>
              <w:spacing w:after="0"/>
              <w:rPr>
                <w:sz w:val="17"/>
                <w:szCs w:val="17"/>
                <w:color w:val="auto"/>
              </w:rPr>
            </w:pPr>
          </w:p>
        </w:tc>
        <w:tc>
          <w:tcPr>
            <w:tcW w:w="100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Certificate of Amendment of Certificate of Incorporation (incorporated by reference to our Annual Report on Form 10-K for the year ended</w:t>
              </w:r>
            </w:hyperlink>
          </w:p>
        </w:tc>
        <w:tc>
          <w:tcPr>
            <w:tcW w:w="260" w:type="dxa"/>
            <w:vAlign w:val="bottom"/>
            <w:gridSpan w:val="1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December 31, 2018, as Exhibit 3.6, filed on February 22, 2019)</w:t>
              </w:r>
            </w:hyperlink>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0"/>
                <w:szCs w:val="20"/>
                <w:color w:val="auto"/>
              </w:rPr>
            </w:pPr>
          </w:p>
        </w:tc>
        <w:tc>
          <w:tcPr>
            <w:tcW w:w="10320" w:type="dxa"/>
            <w:vAlign w:val="bottom"/>
            <w:gridSpan w:val="42"/>
          </w:tcPr>
          <w:p>
            <w:pPr>
              <w:spacing w:after="0"/>
              <w:rPr>
                <w:rFonts w:ascii="Arial" w:cs="Arial" w:eastAsia="Arial" w:hAnsi="Arial"/>
                <w:sz w:val="18"/>
                <w:szCs w:val="18"/>
                <w:u w:val="single" w:color="auto"/>
                <w:color w:val="0000EE"/>
                <w:w w:val="95"/>
              </w:rPr>
            </w:pPr>
            <w:hyperlink r:id="rId144">
              <w:r>
                <w:rPr>
                  <w:rFonts w:ascii="Arial" w:cs="Arial" w:eastAsia="Arial" w:hAnsi="Arial"/>
                  <w:sz w:val="18"/>
                  <w:szCs w:val="18"/>
                  <w:u w:val="single" w:color="auto"/>
                  <w:color w:val="0000EE"/>
                  <w:w w:val="95"/>
                </w:rPr>
                <w:t>Amended and Restated Bylaws (incorporated by reference to our Current Report on Form 8-K, as Exhibit 3.1, filed on February 8, 2019)</w:t>
              </w:r>
            </w:hyperlink>
          </w:p>
        </w:tc>
      </w:tr>
      <w:tr>
        <w:trPr>
          <w:trHeight w:val="229"/>
        </w:trPr>
        <w:tc>
          <w:tcPr>
            <w:tcW w:w="46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9"/>
                <w:szCs w:val="19"/>
                <w:color w:val="auto"/>
              </w:rPr>
            </w:pPr>
          </w:p>
        </w:tc>
        <w:tc>
          <w:tcPr>
            <w:tcW w:w="10320" w:type="dxa"/>
            <w:vAlign w:val="bottom"/>
            <w:gridSpan w:val="42"/>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Common Stock Certificate (incorporated by reference to our Registration on Form S-3 (Registration No. 333-162968), as Exhibit 4.1, filed on</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November 6, 2009)</w:t>
              </w:r>
            </w:hyperlink>
          </w:p>
        </w:tc>
        <w:tc>
          <w:tcPr>
            <w:tcW w:w="8820" w:type="dxa"/>
            <w:vAlign w:val="bottom"/>
            <w:tcBorders>
              <w:top w:val="single" w:sz="8" w:color="0000EE"/>
            </w:tcBorders>
            <w:gridSpan w:val="33"/>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4.2</w:t>
            </w:r>
          </w:p>
        </w:tc>
        <w:tc>
          <w:tcPr>
            <w:tcW w:w="460" w:type="dxa"/>
            <w:vAlign w:val="bottom"/>
          </w:tcPr>
          <w:p>
            <w:pPr>
              <w:spacing w:after="0"/>
              <w:rPr>
                <w:sz w:val="17"/>
                <w:szCs w:val="17"/>
                <w:color w:val="auto"/>
              </w:rPr>
            </w:pPr>
          </w:p>
        </w:tc>
        <w:tc>
          <w:tcPr>
            <w:tcW w:w="1024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Form of Warrant to Purchase Shares of Common Stock (incorporated by reference to our Current Report on Form 8-K, as Exhibit 4.1, filed on</w:t>
              </w:r>
            </w:hyperlink>
          </w:p>
        </w:tc>
        <w:tc>
          <w:tcPr>
            <w:tcW w:w="8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46">
              <w:r>
                <w:rPr>
                  <w:rFonts w:ascii="Arial" w:cs="Arial" w:eastAsia="Arial" w:hAnsi="Arial"/>
                  <w:sz w:val="18"/>
                  <w:szCs w:val="18"/>
                  <w:color w:val="0000EE"/>
                  <w:w w:val="86"/>
                </w:rPr>
                <w:t>June 27, 2014)</w:t>
              </w:r>
            </w:hyperlink>
          </w:p>
        </w:tc>
        <w:tc>
          <w:tcPr>
            <w:tcW w:w="9260" w:type="dxa"/>
            <w:vAlign w:val="bottom"/>
            <w:gridSpan w:val="41"/>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4.3</w:t>
            </w:r>
          </w:p>
        </w:tc>
        <w:tc>
          <w:tcPr>
            <w:tcW w:w="460" w:type="dxa"/>
            <w:vAlign w:val="bottom"/>
          </w:tcPr>
          <w:p>
            <w:pPr>
              <w:spacing w:after="0"/>
              <w:rPr>
                <w:sz w:val="17"/>
                <w:szCs w:val="17"/>
                <w:color w:val="auto"/>
              </w:rPr>
            </w:pPr>
          </w:p>
        </w:tc>
        <w:tc>
          <w:tcPr>
            <w:tcW w:w="101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Form of Warrant to Purchase Shares of Common Stock (incorporated by reference to our Current Report on Form 8-K, as Exhibit 10.3, filed</w:t>
              </w:r>
            </w:hyperlink>
          </w:p>
        </w:tc>
        <w:tc>
          <w:tcPr>
            <w:tcW w:w="220" w:type="dxa"/>
            <w:vAlign w:val="bottom"/>
            <w:gridSpan w:val="9"/>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on October 22, 2009)</w:t>
              </w:r>
            </w:hyperlink>
          </w:p>
        </w:tc>
        <w:tc>
          <w:tcPr>
            <w:tcW w:w="8780" w:type="dxa"/>
            <w:vAlign w:val="bottom"/>
            <w:gridSpan w:val="37"/>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4.4</w:t>
            </w:r>
          </w:p>
        </w:tc>
        <w:tc>
          <w:tcPr>
            <w:tcW w:w="460" w:type="dxa"/>
            <w:vAlign w:val="bottom"/>
          </w:tcPr>
          <w:p>
            <w:pPr>
              <w:spacing w:after="0"/>
              <w:rPr>
                <w:sz w:val="17"/>
                <w:szCs w:val="17"/>
                <w:color w:val="auto"/>
              </w:rPr>
            </w:pPr>
          </w:p>
        </w:tc>
        <w:tc>
          <w:tcPr>
            <w:tcW w:w="98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Amended and Restated Certificate of Designation, Preferences, and Rights of Series A Preferred Stock (incorporated by reference to our</w:t>
              </w:r>
            </w:hyperlink>
          </w:p>
        </w:tc>
        <w:tc>
          <w:tcPr>
            <w:tcW w:w="500" w:type="dxa"/>
            <w:vAlign w:val="bottom"/>
            <w:gridSpan w:val="1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Current Report on Form 8-K, as Exhibit 3.C, filed on December 19, 2006)</w:t>
              </w:r>
            </w:hyperlink>
          </w:p>
        </w:tc>
        <w:tc>
          <w:tcPr>
            <w:tcW w:w="4980" w:type="dxa"/>
            <w:vAlign w:val="bottom"/>
            <w:gridSpan w:val="26"/>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4.5</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Description of the Registrant’s Securities Registered Pursuant to Section 12 of the Securities Exchange Act of 1934 (incorporated by reference</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3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to our Annual Report on Form 10-K for the year ended December 31, 2019, as Exhibit 4.5, filed on March 2, 2020)</w:t>
              </w:r>
            </w:hyperlink>
          </w:p>
        </w:tc>
        <w:tc>
          <w:tcPr>
            <w:tcW w:w="1960" w:type="dxa"/>
            <w:vAlign w:val="bottom"/>
            <w:tcBorders>
              <w:top w:val="single" w:sz="8" w:color="0000EE"/>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5"/>
              </w:rPr>
              <w:t>10.1*</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1997 Employee Stock Purchase Plan, as amended to date (incorporated by reference to our Definitive Proxy Statement on Schedule 14A, as</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Exhibit B, filed on April 26, 2019)</w:t>
              </w:r>
            </w:hyperlink>
          </w:p>
        </w:tc>
        <w:tc>
          <w:tcPr>
            <w:tcW w:w="7560" w:type="dxa"/>
            <w:vAlign w:val="bottom"/>
            <w:tcBorders>
              <w:top w:val="single" w:sz="8" w:color="0000EE"/>
            </w:tcBorders>
            <w:gridSpan w:val="23"/>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196"/>
        </w:trPr>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5"/>
              </w:rPr>
              <w:t>10.2*</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Amended and Restated 2007 Equity Incentive Plan (incorporated by reference to our Definitive Proxy Statement on Schedule 14A, as Exhibit</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 filed on April 26, 2019)</w:t>
              </w:r>
            </w:hyperlink>
          </w:p>
        </w:tc>
        <w:tc>
          <w:tcPr>
            <w:tcW w:w="120" w:type="dxa"/>
            <w:vAlign w:val="bottom"/>
            <w:gridSpan w:val="6"/>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5"/>
              </w:rPr>
              <w:t>10.3*</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Form of 2007 Equity Incentive Plan Stock Option Agreement (incorporated by reference to our Registration on Form S-8 (Registration No.</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333-148660), as Exhibit 4.3, filed on January 14, 2008)</w:t>
              </w:r>
            </w:hyperlink>
          </w:p>
        </w:tc>
        <w:tc>
          <w:tcPr>
            <w:tcW w:w="6020" w:type="dxa"/>
            <w:vAlign w:val="bottom"/>
            <w:tcBorders>
              <w:top w:val="single" w:sz="8" w:color="0000EE"/>
            </w:tcBorders>
            <w:gridSpan w:val="19"/>
          </w:tcPr>
          <w:p>
            <w:pPr>
              <w:spacing w:after="0"/>
              <w:rPr>
                <w:sz w:val="17"/>
                <w:szCs w:val="17"/>
                <w:color w:val="auto"/>
              </w:rPr>
            </w:pPr>
          </w:p>
        </w:tc>
        <w:tc>
          <w:tcPr>
            <w:tcW w:w="300" w:type="dxa"/>
            <w:vAlign w:val="bottom"/>
            <w:gridSpan w:val="13"/>
          </w:tcPr>
          <w:p>
            <w:pPr>
              <w:spacing w:after="0"/>
              <w:rPr>
                <w:sz w:val="17"/>
                <w:szCs w:val="17"/>
                <w:color w:val="auto"/>
              </w:rPr>
            </w:pPr>
          </w:p>
        </w:tc>
      </w:tr>
      <w:tr>
        <w:trPr>
          <w:trHeight w:val="196"/>
        </w:trPr>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5"/>
              </w:rPr>
              <w:t>10.4*</w:t>
            </w:r>
          </w:p>
        </w:tc>
        <w:tc>
          <w:tcPr>
            <w:tcW w:w="460" w:type="dxa"/>
            <w:vAlign w:val="bottom"/>
          </w:tcPr>
          <w:p>
            <w:pPr>
              <w:spacing w:after="0"/>
              <w:rPr>
                <w:sz w:val="17"/>
                <w:szCs w:val="17"/>
                <w:color w:val="auto"/>
              </w:rPr>
            </w:pPr>
          </w:p>
        </w:tc>
        <w:tc>
          <w:tcPr>
            <w:tcW w:w="10320" w:type="dxa"/>
            <w:vAlign w:val="bottom"/>
            <w:tcBorders>
              <w:bottom w:val="single" w:sz="8" w:color="0000EE"/>
            </w:tcBorders>
            <w:gridSpan w:val="42"/>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Form of 2007 Equity Incentive Plan Restricted Stock Unit Agreement (incorporated by reference to our Registration on Form S-8 (Registration</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No. 333-148660), as Exhibit 4.4, filed on January 14, 2008)</w:t>
              </w:r>
            </w:hyperlink>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5"/>
              </w:rPr>
              <w:t>10.5*</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Form of 2007 Equity Incentive Plan Restricted Stock Award Agreement (incorporated by reference to our Annual Report on Form 10-K for the</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year ended December 31, 2007, as Exhibit 10-O, filed on March 31, 2008)</w:t>
              </w:r>
            </w:hyperlink>
          </w:p>
        </w:tc>
        <w:tc>
          <w:tcPr>
            <w:tcW w:w="4900" w:type="dxa"/>
            <w:vAlign w:val="bottom"/>
            <w:tcBorders>
              <w:top w:val="single" w:sz="8" w:color="0000EE"/>
            </w:tcBorders>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5"/>
              </w:rPr>
              <w:t>10.6*</w:t>
            </w:r>
          </w:p>
        </w:tc>
        <w:tc>
          <w:tcPr>
            <w:tcW w:w="460" w:type="dxa"/>
            <w:vAlign w:val="bottom"/>
          </w:tcPr>
          <w:p>
            <w:pPr>
              <w:spacing w:after="0"/>
              <w:rPr>
                <w:sz w:val="17"/>
                <w:szCs w:val="17"/>
                <w:color w:val="auto"/>
              </w:rPr>
            </w:pPr>
          </w:p>
        </w:tc>
        <w:tc>
          <w:tcPr>
            <w:tcW w:w="10280" w:type="dxa"/>
            <w:vAlign w:val="bottom"/>
            <w:tcBorders>
              <w:bottom w:val="single" w:sz="8" w:color="0000EE"/>
            </w:tcBorders>
            <w:gridSpan w:val="4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Form of Indemnification Agreement (incorporated by reference to our Annual Report on Form 10-K for the year ended December 31, 2007, as</w:t>
              </w:r>
            </w:hyperlink>
          </w:p>
        </w:tc>
        <w:tc>
          <w:tcPr>
            <w:tcW w:w="4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Exhibit 10-S, filed on March 31, 2008)</w:t>
              </w:r>
            </w:hyperlink>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w w:val="85"/>
              </w:rPr>
              <w:t>10.7</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Registration Rights Agreement, dated as of October 22, 2009, by and among the Company and the purchasers listed therein (incorporated by</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reference to our Current Report on Form 8-K, as Exhibit 10.2, filed on October 22, 2009)</w:t>
              </w:r>
            </w:hyperlink>
          </w:p>
        </w:tc>
        <w:tc>
          <w:tcPr>
            <w:tcW w:w="200" w:type="dxa"/>
            <w:vAlign w:val="bottom"/>
            <w:gridSpan w:val="8"/>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120" w:type="dxa"/>
            <w:vAlign w:val="bottom"/>
            <w:gridSpan w:val="1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w w:val="85"/>
              </w:rPr>
              <w:t>10.9</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Securities Purchase Agreement, dated as of April 24, 2011, by and among the Company and the purchasers listed therein (incorporated by</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reference to our Current Report on Form 8-K, as Exhibit 10.1, filed on April 28, 2011)</w:t>
              </w:r>
            </w:hyperlink>
          </w:p>
        </w:tc>
        <w:tc>
          <w:tcPr>
            <w:tcW w:w="3700" w:type="dxa"/>
            <w:vAlign w:val="bottom"/>
            <w:tcBorders>
              <w:top w:val="single" w:sz="8" w:color="0000EE"/>
            </w:tcBorders>
            <w:gridSpan w:val="8"/>
          </w:tcPr>
          <w:p>
            <w:pPr>
              <w:spacing w:after="0"/>
              <w:rPr>
                <w:sz w:val="17"/>
                <w:szCs w:val="17"/>
                <w:color w:val="auto"/>
              </w:rPr>
            </w:pPr>
          </w:p>
        </w:tc>
        <w:tc>
          <w:tcPr>
            <w:tcW w:w="400" w:type="dxa"/>
            <w:vAlign w:val="bottom"/>
            <w:gridSpan w:val="15"/>
          </w:tcPr>
          <w:p>
            <w:pPr>
              <w:spacing w:after="0"/>
              <w:rPr>
                <w:sz w:val="17"/>
                <w:szCs w:val="17"/>
                <w:color w:val="auto"/>
              </w:rPr>
            </w:pPr>
          </w:p>
        </w:tc>
      </w:tr>
      <w:tr>
        <w:trPr>
          <w:trHeight w:val="196"/>
        </w:trPr>
        <w:tc>
          <w:tcPr>
            <w:tcW w:w="460" w:type="dxa"/>
            <w:vAlign w:val="bottom"/>
          </w:tcPr>
          <w:p>
            <w:pPr>
              <w:jc w:val="right"/>
              <w:ind w:right="51"/>
              <w:spacing w:after="0" w:line="196" w:lineRule="exact"/>
              <w:rPr>
                <w:sz w:val="20"/>
                <w:szCs w:val="20"/>
                <w:color w:val="auto"/>
              </w:rPr>
            </w:pPr>
            <w:r>
              <w:rPr>
                <w:rFonts w:ascii="Arial" w:cs="Arial" w:eastAsia="Arial" w:hAnsi="Arial"/>
                <w:sz w:val="18"/>
                <w:szCs w:val="18"/>
                <w:color w:val="auto"/>
                <w:w w:val="85"/>
              </w:rPr>
              <w:t>10.9</w:t>
            </w:r>
          </w:p>
        </w:tc>
        <w:tc>
          <w:tcPr>
            <w:tcW w:w="460" w:type="dxa"/>
            <w:vAlign w:val="bottom"/>
          </w:tcPr>
          <w:p>
            <w:pPr>
              <w:spacing w:after="0"/>
              <w:rPr>
                <w:sz w:val="17"/>
                <w:szCs w:val="17"/>
                <w:color w:val="auto"/>
              </w:rPr>
            </w:pPr>
          </w:p>
        </w:tc>
        <w:tc>
          <w:tcPr>
            <w:tcW w:w="100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Form of Senior Secured Convertible Note due 2021 (incorporated by reference to our Current Report on Form 8-K, as Exhibit 10.2, filed on</w:t>
              </w:r>
            </w:hyperlink>
          </w:p>
        </w:tc>
        <w:tc>
          <w:tcPr>
            <w:tcW w:w="240" w:type="dxa"/>
            <w:vAlign w:val="bottom"/>
            <w:gridSpan w:val="10"/>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April 28, 2011)</w:t>
              </w:r>
            </w:hyperlink>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300" w:type="dxa"/>
            <w:vAlign w:val="bottom"/>
            <w:gridSpan w:val="1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18"/>
                <w:szCs w:val="18"/>
                <w:color w:val="auto"/>
                <w:w w:val="97"/>
              </w:rPr>
              <w:t>10.10</w:t>
            </w:r>
          </w:p>
        </w:tc>
        <w:tc>
          <w:tcPr>
            <w:tcW w:w="460" w:type="dxa"/>
            <w:vAlign w:val="bottom"/>
          </w:tcPr>
          <w:p>
            <w:pPr>
              <w:spacing w:after="0"/>
              <w:rPr>
                <w:sz w:val="17"/>
                <w:szCs w:val="17"/>
                <w:color w:val="auto"/>
              </w:rPr>
            </w:pPr>
          </w:p>
        </w:tc>
        <w:tc>
          <w:tcPr>
            <w:tcW w:w="100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Securities Agreement, dated as of April 24, 2011, by and between the Company and Tang Capital Partners, LP, as Agent for the Purchasers</w:t>
              </w:r>
            </w:hyperlink>
          </w:p>
        </w:tc>
        <w:tc>
          <w:tcPr>
            <w:tcW w:w="320" w:type="dxa"/>
            <w:vAlign w:val="bottom"/>
            <w:gridSpan w:val="1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(incorporated by reference to our Current Report on Form 8-K, as Exhibit 10.3, filed on April 28, 2011)</w:t>
              </w:r>
            </w:hyperlink>
          </w:p>
        </w:tc>
        <w:tc>
          <w:tcPr>
            <w:tcW w:w="2860" w:type="dxa"/>
            <w:vAlign w:val="bottom"/>
            <w:gridSpan w:val="20"/>
          </w:tcPr>
          <w:p>
            <w:pPr>
              <w:spacing w:after="0"/>
              <w:rPr>
                <w:sz w:val="17"/>
                <w:szCs w:val="17"/>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18"/>
                <w:szCs w:val="18"/>
                <w:color w:val="auto"/>
                <w:w w:val="97"/>
              </w:rPr>
              <w:t>10.11</w:t>
            </w:r>
          </w:p>
        </w:tc>
        <w:tc>
          <w:tcPr>
            <w:tcW w:w="460" w:type="dxa"/>
            <w:vAlign w:val="bottom"/>
          </w:tcPr>
          <w:p>
            <w:pPr>
              <w:spacing w:after="0"/>
              <w:rPr>
                <w:sz w:val="17"/>
                <w:szCs w:val="17"/>
                <w:color w:val="auto"/>
              </w:rPr>
            </w:pPr>
          </w:p>
        </w:tc>
        <w:tc>
          <w:tcPr>
            <w:tcW w:w="10320" w:type="dxa"/>
            <w:vAlign w:val="bottom"/>
            <w:gridSpan w:val="42"/>
          </w:tcPr>
          <w:p>
            <w:pPr>
              <w:spacing w:after="0" w:line="196" w:lineRule="exact"/>
              <w:rPr>
                <w:rFonts w:ascii="Arial" w:cs="Arial" w:eastAsia="Arial" w:hAnsi="Arial"/>
                <w:sz w:val="18"/>
                <w:szCs w:val="18"/>
                <w:color w:val="0000EE"/>
                <w:w w:val="97"/>
              </w:rPr>
            </w:pPr>
            <w:hyperlink r:id="rId159">
              <w:r>
                <w:rPr>
                  <w:rFonts w:ascii="Arial" w:cs="Arial" w:eastAsia="Arial" w:hAnsi="Arial"/>
                  <w:sz w:val="18"/>
                  <w:szCs w:val="18"/>
                  <w:color w:val="0000EE"/>
                  <w:w w:val="97"/>
                </w:rPr>
                <w:t>Securities Purchase Agreement, dated June 29, 2011, by and between the Company and the purchasers listed on Schedule I thereto</w:t>
              </w:r>
            </w:hyperlink>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(incorporated by reference to our Current Report on Form 8-K, as Exhibit 10.1, filed on June 30, 2011)</w:t>
              </w:r>
            </w:hyperlink>
          </w:p>
        </w:tc>
        <w:tc>
          <w:tcPr>
            <w:tcW w:w="940" w:type="dxa"/>
            <w:vAlign w:val="bottom"/>
            <w:gridSpan w:val="18"/>
          </w:tcPr>
          <w:p>
            <w:pPr>
              <w:spacing w:after="0"/>
              <w:rPr>
                <w:sz w:val="17"/>
                <w:szCs w:val="17"/>
                <w:color w:val="auto"/>
              </w:rPr>
            </w:pPr>
          </w:p>
        </w:tc>
      </w:tr>
      <w:tr>
        <w:trPr>
          <w:trHeight w:val="4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tcBorders>
              <w:top w:val="single" w:sz="8" w:color="0000EE"/>
            </w:tcBorders>
            <w:gridSpan w:val="15"/>
          </w:tcPr>
          <w:p>
            <w:pPr>
              <w:ind w:left="4580"/>
              <w:spacing w:after="0"/>
              <w:rPr>
                <w:sz w:val="20"/>
                <w:szCs w:val="20"/>
                <w:color w:val="auto"/>
              </w:rPr>
            </w:pPr>
            <w:r>
              <w:rPr>
                <w:rFonts w:ascii="Arial" w:cs="Arial" w:eastAsia="Arial" w:hAnsi="Arial"/>
                <w:sz w:val="18"/>
                <w:szCs w:val="18"/>
                <w:color w:val="auto"/>
              </w:rPr>
              <w:t>112</w:t>
            </w: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320" w:type="dxa"/>
            <w:vAlign w:val="bottom"/>
            <w:gridSpan w:val="27"/>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Amendment to Senior Secured Convertible Note Due 2021, dated June 29, 2011, by and between the Company and the purchasers named in</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the Securities Purchase Agreement, dated April 24, 2011, (incorporated by reference to our Current Report on Form 8-K, as Exhibit 10.2, filed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r:id="rId162">
              <w:r>
                <w:rPr>
                  <w:rFonts w:ascii="Arial" w:cs="Arial" w:eastAsia="Arial" w:hAnsi="Arial"/>
                  <w:sz w:val="18"/>
                  <w:szCs w:val="18"/>
                  <w:color w:val="0000EE"/>
                  <w:w w:val="86"/>
                </w:rPr>
                <w:t>on June 30, 2011)</w:t>
              </w:r>
            </w:hyperlink>
          </w:p>
        </w:tc>
        <w:tc>
          <w:tcPr>
            <w:tcW w:w="9040" w:type="dxa"/>
            <w:vAlign w:val="bottom"/>
            <w:gridSpan w:val="2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96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Registration Rights Agreement, dated July 25, 2012, by and between the Company and the purchasers named therein (incorporated by</w:t>
              </w:r>
            </w:hyperlink>
          </w:p>
        </w:tc>
        <w:tc>
          <w:tcPr>
            <w:tcW w:w="64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7"/>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reference to our Current Report on Form 8-K, as Exhibit 10.2, filed on July 25, 2012)</w:t>
              </w:r>
            </w:hyperlink>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9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Executive Employment Agreement, dated May 1, 2013, by and between the Company and Barry D. Quart, Pharm.D. (incorporated by</w:t>
              </w:r>
            </w:hyperlink>
          </w:p>
        </w:tc>
        <w:tc>
          <w:tcPr>
            <w:tcW w:w="660" w:type="dxa"/>
            <w:vAlign w:val="bottom"/>
            <w:gridSpan w:val="13"/>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10320" w:type="dxa"/>
            <w:vAlign w:val="bottom"/>
            <w:gridSpan w:val="27"/>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reference to our Quarterly Report on Form 10-Q for the quarter ended March 31, 2013, as Exhibit 10-AI, filed on May 10, 2013)</w:t>
              </w:r>
            </w:hyperlink>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10.15</w:t>
            </w:r>
          </w:p>
        </w:tc>
        <w:tc>
          <w:tcPr>
            <w:tcW w:w="10320" w:type="dxa"/>
            <w:vAlign w:val="bottom"/>
            <w:gridSpan w:val="27"/>
          </w:tcPr>
          <w:p>
            <w:pPr>
              <w:spacing w:after="0" w:line="190"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Form of Non-Qualified Stock Option Agreement (incorporated by reference to our Quarterly Report on Form 10-Q for the quarter ended June</w:t>
              </w:r>
            </w:hyperlink>
          </w:p>
        </w:tc>
      </w:tr>
      <w:tr>
        <w:trPr>
          <w:trHeight w:val="196"/>
        </w:trPr>
        <w:tc>
          <w:tcPr>
            <w:tcW w:w="92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30, 2013, as Exhibit 10-AL, filed on August 8, 2013)</w:t>
              </w:r>
            </w:hyperlink>
          </w:p>
        </w:tc>
        <w:tc>
          <w:tcPr>
            <w:tcW w:w="6380" w:type="dxa"/>
            <w:vAlign w:val="bottom"/>
            <w:tcBorders>
              <w:top w:val="single" w:sz="8" w:color="0000EE"/>
            </w:tcBorders>
            <w:gridSpan w:val="16"/>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1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Amendment to Executive Employment Agreement, dated May 1, 2013, as amended on April 22, 2015, by and between the Company and Dr.</w:t>
              </w:r>
            </w:hyperlink>
          </w:p>
        </w:tc>
        <w:tc>
          <w:tcPr>
            <w:tcW w:w="1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7"/>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Barry Quart (incorporated by reference to our Quarterly Report on Form 10-Q for the quarter ended March 31, 2015, as Exhibit 10.1, filed on</w:t>
              </w:r>
            </w:hyperlink>
          </w:p>
        </w:tc>
      </w:tr>
      <w:tr>
        <w:trPr>
          <w:trHeight w:val="196"/>
        </w:trPr>
        <w:tc>
          <w:tcPr>
            <w:tcW w:w="920" w:type="dxa"/>
            <w:vAlign w:val="bottom"/>
          </w:tcPr>
          <w:p>
            <w:pPr>
              <w:spacing w:after="0"/>
              <w:rPr>
                <w:sz w:val="17"/>
                <w:szCs w:val="17"/>
                <w:color w:val="auto"/>
              </w:rPr>
            </w:pPr>
          </w:p>
        </w:tc>
        <w:tc>
          <w:tcPr>
            <w:tcW w:w="10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May 8, 2015)</w:t>
              </w:r>
            </w:hyperlink>
          </w:p>
        </w:tc>
        <w:tc>
          <w:tcPr>
            <w:tcW w:w="14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8"/>
                <w:szCs w:val="18"/>
                <w:color w:val="auto"/>
              </w:rPr>
              <w:t>10.17+</w:t>
            </w:r>
          </w:p>
        </w:tc>
        <w:tc>
          <w:tcPr>
            <w:tcW w:w="660" w:type="dxa"/>
            <w:vAlign w:val="bottom"/>
          </w:tcPr>
          <w:p>
            <w:pPr>
              <w:spacing w:after="0" w:line="169"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SUSTOL</w:t>
              </w:r>
            </w:hyperlink>
          </w:p>
        </w:tc>
        <w:tc>
          <w:tcPr>
            <w:tcW w:w="12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9"/>
              </w:rPr>
            </w:pPr>
            <w:hyperlink r:id="rId167">
              <w:r>
                <w:rPr>
                  <w:rFonts w:ascii="Arial" w:cs="Arial" w:eastAsia="Arial" w:hAnsi="Arial"/>
                  <w:sz w:val="15"/>
                  <w:szCs w:val="15"/>
                  <w:color w:val="0000EE"/>
                  <w:w w:val="89"/>
                </w:rPr>
                <w:t>®</w:t>
              </w:r>
            </w:hyperlink>
          </w:p>
        </w:tc>
        <w:tc>
          <w:tcPr>
            <w:tcW w:w="9540" w:type="dxa"/>
            <w:vAlign w:val="bottom"/>
            <w:gridSpan w:val="24"/>
          </w:tcPr>
          <w:p>
            <w:pPr>
              <w:ind w:left="60"/>
              <w:spacing w:after="0" w:line="169"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(granisetron, extended release) Injection Commercial Manufacturing Services Agreement – Finished Final Drug Product, dated</w:t>
              </w:r>
            </w:hyperlink>
          </w:p>
        </w:tc>
      </w:tr>
      <w:tr>
        <w:trPr>
          <w:trHeight w:val="20"/>
        </w:trPr>
        <w:tc>
          <w:tcPr>
            <w:tcW w:w="920" w:type="dxa"/>
            <w:vAlign w:val="bottom"/>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0000EE"/>
            </w:tcBorders>
            <w:gridSpan w:val="3"/>
          </w:tcPr>
          <w:p>
            <w:pPr>
              <w:spacing w:after="0" w:line="20" w:lineRule="exact"/>
              <w:rPr>
                <w:sz w:val="1"/>
                <w:szCs w:val="1"/>
                <w:color w:val="auto"/>
              </w:rPr>
            </w:pPr>
          </w:p>
        </w:tc>
        <w:tc>
          <w:tcPr>
            <w:tcW w:w="2760" w:type="dxa"/>
            <w:vAlign w:val="bottom"/>
            <w:tcBorders>
              <w:bottom w:val="single" w:sz="8" w:color="0000EE"/>
            </w:tcBorders>
            <w:gridSpan w:val="2"/>
          </w:tcPr>
          <w:p>
            <w:pPr>
              <w:spacing w:after="0" w:line="20" w:lineRule="exact"/>
              <w:rPr>
                <w:sz w:val="1"/>
                <w:szCs w:val="1"/>
                <w:color w:val="auto"/>
              </w:rPr>
            </w:pPr>
          </w:p>
        </w:tc>
        <w:tc>
          <w:tcPr>
            <w:tcW w:w="980" w:type="dxa"/>
            <w:vAlign w:val="bottom"/>
            <w:tcBorders>
              <w:bottom w:val="single" w:sz="8" w:color="0000EE"/>
            </w:tcBorders>
            <w:gridSpan w:val="2"/>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58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0140" w:type="dxa"/>
            <w:vAlign w:val="bottom"/>
            <w:tcBorders>
              <w:bottom w:val="single" w:sz="8" w:color="0000EE"/>
            </w:tcBorders>
            <w:gridSpan w:val="20"/>
          </w:tcPr>
          <w:p>
            <w:pPr>
              <w:spacing w:after="0" w:line="183"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May 27, 2015, by and between the Company and Lifecore Biomedical, LLC) (incorporated by reference to our Current Report on Form 8-K,</w:t>
              </w:r>
            </w:hyperlink>
          </w:p>
        </w:tc>
        <w:tc>
          <w:tcPr>
            <w:tcW w:w="180" w:type="dxa"/>
            <w:vAlign w:val="bottom"/>
            <w:gridSpan w:val="7"/>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as Exhibit 10.1, filed on May 29, 2015)</w:t>
              </w:r>
            </w:hyperlink>
          </w:p>
        </w:tc>
        <w:tc>
          <w:tcPr>
            <w:tcW w:w="7480" w:type="dxa"/>
            <w:vAlign w:val="bottom"/>
            <w:gridSpan w:val="2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320" w:type="dxa"/>
            <w:vAlign w:val="bottom"/>
            <w:gridSpan w:val="27"/>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Commercial Supply Agreement, dated December 8, 2015, by and between the Company and SAFC, Inc. (incorporated by reference to our</w:t>
              </w:r>
            </w:hyperlink>
          </w:p>
        </w:tc>
      </w:tr>
      <w:tr>
        <w:trPr>
          <w:trHeight w:val="222"/>
        </w:trPr>
        <w:tc>
          <w:tcPr>
            <w:tcW w:w="920" w:type="dxa"/>
            <w:vAlign w:val="bottom"/>
          </w:tcPr>
          <w:p>
            <w:pPr>
              <w:spacing w:after="0"/>
              <w:rPr>
                <w:sz w:val="19"/>
                <w:szCs w:val="19"/>
                <w:color w:val="auto"/>
              </w:rPr>
            </w:pPr>
          </w:p>
        </w:tc>
        <w:tc>
          <w:tcPr>
            <w:tcW w:w="9940" w:type="dxa"/>
            <w:vAlign w:val="bottom"/>
            <w:tcBorders>
              <w:top w:val="single" w:sz="8" w:color="0000EE"/>
            </w:tcBorders>
            <w:gridSpan w:val="17"/>
          </w:tcPr>
          <w:p>
            <w:pPr>
              <w:spacing w:after="0"/>
              <w:rPr>
                <w:rFonts w:ascii="Arial" w:cs="Arial" w:eastAsia="Arial" w:hAnsi="Arial"/>
                <w:sz w:val="18"/>
                <w:szCs w:val="18"/>
                <w:u w:val="single" w:color="auto"/>
                <w:color w:val="0000EE"/>
                <w:w w:val="91"/>
              </w:rPr>
            </w:pPr>
            <w:hyperlink r:id="rId168">
              <w:r>
                <w:rPr>
                  <w:rFonts w:ascii="Arial" w:cs="Arial" w:eastAsia="Arial" w:hAnsi="Arial"/>
                  <w:sz w:val="18"/>
                  <w:szCs w:val="18"/>
                  <w:u w:val="single" w:color="auto"/>
                  <w:color w:val="0000EE"/>
                  <w:w w:val="91"/>
                </w:rPr>
                <w:t>Annual Report on Form 10-K/A Amendment No. 1 for the year ended December 31, 2015, as Exhibit 10.36, filed on December 23, 2016)</w:t>
              </w:r>
            </w:hyperlink>
          </w:p>
        </w:tc>
        <w:tc>
          <w:tcPr>
            <w:tcW w:w="380" w:type="dxa"/>
            <w:vAlign w:val="bottom"/>
            <w:gridSpan w:val="10"/>
          </w:tcPr>
          <w:p>
            <w:pPr>
              <w:spacing w:after="0"/>
              <w:rPr>
                <w:sz w:val="19"/>
                <w:szCs w:val="19"/>
                <w:color w:val="auto"/>
              </w:rPr>
            </w:pP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10.19*</w:t>
            </w:r>
          </w:p>
        </w:tc>
        <w:tc>
          <w:tcPr>
            <w:tcW w:w="10320" w:type="dxa"/>
            <w:vAlign w:val="bottom"/>
            <w:gridSpan w:val="27"/>
          </w:tcPr>
          <w:p>
            <w:pPr>
              <w:spacing w:after="0" w:line="190"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Executive Employment Agreement, dated January 28, 2016, by and between the Company and Kimberly Manhard (incorporated by reference</w:t>
              </w:r>
            </w:hyperlink>
          </w:p>
        </w:tc>
      </w:tr>
      <w:tr>
        <w:trPr>
          <w:trHeight w:val="196"/>
        </w:trPr>
        <w:tc>
          <w:tcPr>
            <w:tcW w:w="92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to our Quarterly Report on Form 10-Q for the quarter ended March 31, 2016, as Exhibit 10.1, filed on May 5, 2016)</w:t>
              </w:r>
            </w:hyperlink>
          </w:p>
        </w:tc>
        <w:tc>
          <w:tcPr>
            <w:tcW w:w="1860" w:type="dxa"/>
            <w:vAlign w:val="bottom"/>
            <w:tcBorders>
              <w:top w:val="single" w:sz="8" w:color="0000EE"/>
            </w:tcBorders>
            <w:gridSpan w:val="10"/>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320" w:type="dxa"/>
            <w:vAlign w:val="bottom"/>
            <w:gridSpan w:val="27"/>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Lease Agreement, dated October 18, 2016, by and between the Company and AP3-SD1 Campus Point LLC (incorporated by reference to our</w:t>
              </w:r>
            </w:hyperlink>
          </w:p>
        </w:tc>
      </w:tr>
      <w:tr>
        <w:trPr>
          <w:trHeight w:val="222"/>
        </w:trPr>
        <w:tc>
          <w:tcPr>
            <w:tcW w:w="920" w:type="dxa"/>
            <w:vAlign w:val="bottom"/>
          </w:tcPr>
          <w:p>
            <w:pPr>
              <w:spacing w:after="0"/>
              <w:rPr>
                <w:sz w:val="19"/>
                <w:szCs w:val="19"/>
                <w:color w:val="auto"/>
              </w:rPr>
            </w:pPr>
          </w:p>
        </w:tc>
        <w:tc>
          <w:tcPr>
            <w:tcW w:w="10180" w:type="dxa"/>
            <w:vAlign w:val="bottom"/>
            <w:tcBorders>
              <w:top w:val="single" w:sz="8" w:color="0000EE"/>
            </w:tcBorders>
            <w:gridSpan w:val="22"/>
          </w:tcPr>
          <w:p>
            <w:pPr>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Quarterly Report on Form 10-Q for the quarter ended September 30, 2016, as Exhibit 10.3, filed on November 8, 2016)</w:t>
              </w:r>
            </w:hyperlink>
          </w:p>
        </w:tc>
        <w:tc>
          <w:tcPr>
            <w:tcW w:w="140" w:type="dxa"/>
            <w:vAlign w:val="bottom"/>
            <w:gridSpan w:val="5"/>
          </w:tcPr>
          <w:p>
            <w:pPr>
              <w:spacing w:after="0"/>
              <w:rPr>
                <w:sz w:val="19"/>
                <w:szCs w:val="19"/>
                <w:color w:val="auto"/>
              </w:rPr>
            </w:pP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10.21</w:t>
            </w:r>
          </w:p>
        </w:tc>
        <w:tc>
          <w:tcPr>
            <w:tcW w:w="10260" w:type="dxa"/>
            <w:vAlign w:val="bottom"/>
            <w:tcBorders>
              <w:bottom w:val="single" w:sz="8" w:color="0000EE"/>
            </w:tcBorders>
            <w:gridSpan w:val="25"/>
          </w:tcPr>
          <w:p>
            <w:pPr>
              <w:spacing w:after="0" w:line="190"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First Amendment to Lease, dated March 15, 2017, by and between the Company and AP3-SD1 Campus Point LLC (incorporated by reference</w:t>
              </w:r>
            </w:hyperlink>
          </w:p>
        </w:tc>
        <w:tc>
          <w:tcPr>
            <w:tcW w:w="60" w:type="dxa"/>
            <w:vAlign w:val="bottom"/>
            <w:gridSpan w:val="2"/>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5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to our Current Report on Form 8-K, as Exhibit 10.1, filed on March 17, 2017)</w:t>
              </w:r>
            </w:hyperlink>
          </w:p>
        </w:tc>
        <w:tc>
          <w:tcPr>
            <w:tcW w:w="4720" w:type="dxa"/>
            <w:vAlign w:val="bottom"/>
            <w:gridSpan w:val="1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320" w:type="dxa"/>
            <w:vAlign w:val="bottom"/>
            <w:gridSpan w:val="2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Executive Employment Agreement, dated April 24, 2017, by and between the Company and Robert E. Hoffman (incorporated by reference to</w:t>
              </w:r>
            </w:hyperlink>
          </w:p>
        </w:tc>
      </w:tr>
      <w:tr>
        <w:trPr>
          <w:trHeight w:val="196"/>
        </w:trPr>
        <w:tc>
          <w:tcPr>
            <w:tcW w:w="920" w:type="dxa"/>
            <w:vAlign w:val="bottom"/>
          </w:tcPr>
          <w:p>
            <w:pPr>
              <w:spacing w:after="0"/>
              <w:rPr>
                <w:sz w:val="17"/>
                <w:szCs w:val="17"/>
                <w:color w:val="auto"/>
              </w:rPr>
            </w:pPr>
          </w:p>
        </w:tc>
        <w:tc>
          <w:tcPr>
            <w:tcW w:w="102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our Quarterly Report on Form 10-Q for the quarter ended June 30, 2017, as Exhibit 10.1, filed on August 9, 2017)</w:t>
              </w:r>
            </w:hyperlink>
          </w:p>
        </w:tc>
        <w:tc>
          <w:tcPr>
            <w:tcW w:w="12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580" w:type="dxa"/>
            <w:vAlign w:val="bottom"/>
            <w:gridSpan w:val="10"/>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320" w:type="dxa"/>
            <w:vAlign w:val="bottom"/>
            <w:gridSpan w:val="27"/>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Second Amendment to Lease, dated May 8, 2018, by and between the Company and AP3-SD1 Campus Point LLC (incorporated by reference</w:t>
              </w:r>
            </w:hyperlink>
          </w:p>
        </w:tc>
      </w:tr>
      <w:tr>
        <w:trPr>
          <w:trHeight w:val="222"/>
        </w:trPr>
        <w:tc>
          <w:tcPr>
            <w:tcW w:w="920" w:type="dxa"/>
            <w:vAlign w:val="bottom"/>
          </w:tcPr>
          <w:p>
            <w:pPr>
              <w:spacing w:after="0"/>
              <w:rPr>
                <w:sz w:val="19"/>
                <w:szCs w:val="19"/>
                <w:color w:val="auto"/>
              </w:rPr>
            </w:pPr>
          </w:p>
        </w:tc>
        <w:tc>
          <w:tcPr>
            <w:tcW w:w="10220" w:type="dxa"/>
            <w:vAlign w:val="bottom"/>
            <w:tcBorders>
              <w:top w:val="single" w:sz="8" w:color="0000EE"/>
            </w:tcBorders>
            <w:gridSpan w:val="24"/>
          </w:tcPr>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to our Quarterly Report on Form 10-Q for the quarter ended March 31, 2018, as Exhibit 10.1, filed on May 10, 2018)</w:t>
              </w:r>
            </w:hyperlink>
          </w:p>
        </w:tc>
        <w:tc>
          <w:tcPr>
            <w:tcW w:w="100" w:type="dxa"/>
            <w:vAlign w:val="bottom"/>
            <w:gridSpan w:val="3"/>
          </w:tcPr>
          <w:p>
            <w:pPr>
              <w:spacing w:after="0"/>
              <w:rPr>
                <w:sz w:val="19"/>
                <w:szCs w:val="19"/>
                <w:color w:val="auto"/>
              </w:rPr>
            </w:pP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10.24*</w:t>
            </w:r>
          </w:p>
        </w:tc>
        <w:tc>
          <w:tcPr>
            <w:tcW w:w="10140" w:type="dxa"/>
            <w:vAlign w:val="bottom"/>
            <w:tcBorders>
              <w:bottom w:val="single" w:sz="8" w:color="0000EE"/>
            </w:tcBorders>
            <w:gridSpan w:val="20"/>
          </w:tcPr>
          <w:p>
            <w:pPr>
              <w:spacing w:after="0" w:line="190"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Executive Employment Agreement, dated July 15, 2019, by and between the Company and John Poyhonen (incorporated by reference to our</w:t>
              </w:r>
            </w:hyperlink>
          </w:p>
        </w:tc>
        <w:tc>
          <w:tcPr>
            <w:tcW w:w="180" w:type="dxa"/>
            <w:vAlign w:val="bottom"/>
            <w:gridSpan w:val="7"/>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79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Quarterly Report on Form 10-Q for the quarter ended June 30, 2019, as Exhibit 10.1, filed on August 5, 2019)</w:t>
              </w:r>
            </w:hyperlink>
          </w:p>
        </w:tc>
        <w:tc>
          <w:tcPr>
            <w:tcW w:w="2400" w:type="dxa"/>
            <w:vAlign w:val="bottom"/>
            <w:gridSpan w:val="1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Third Amendment to Lease, dated December 19, 2019, by and between the Company and ARE-SD Region No. 61, LLC (incorporated by</w:t>
              </w:r>
            </w:hyperlink>
          </w:p>
        </w:tc>
        <w:tc>
          <w:tcPr>
            <w:tcW w:w="4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7"/>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reference to our Current Report on Form 8-K, as Exhibit 10.1, filed on December 20, 2019)</w:t>
              </w:r>
            </w:hyperlink>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658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Consent of Independent Registered Public Accounting Firm (OUM &amp; Co. LLP)</w:t>
              </w:r>
            </w:hyperlink>
          </w:p>
        </w:tc>
        <w:tc>
          <w:tcPr>
            <w:tcW w:w="3740" w:type="dxa"/>
            <w:vAlign w:val="bottom"/>
            <w:gridSpan w:val="17"/>
          </w:tcPr>
          <w:p>
            <w:pPr>
              <w:spacing w:after="0"/>
              <w:rPr>
                <w:sz w:val="20"/>
                <w:szCs w:val="20"/>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0320" w:type="dxa"/>
            <w:vAlign w:val="bottom"/>
            <w:gridSpan w:val="27"/>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Power of Attorney (included on the signature page hereto)</w:t>
              </w:r>
            </w:hyperlink>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gridSpan w:val="27"/>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Certification Pursuant to Section 302 of the Sarbanes-Oxley Act of 2002</w:t>
              </w:r>
            </w:hyperlink>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gridSpan w:val="27"/>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Certification Pursuant to Section 302 of the Sarbanes-Oxley Act of 2002</w:t>
              </w:r>
            </w:hyperlink>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gridSpan w:val="27"/>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27"/>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 embedded</w:t>
            </w:r>
          </w:p>
        </w:tc>
      </w:tr>
      <w:tr>
        <w:trPr>
          <w:trHeight w:val="216"/>
        </w:trPr>
        <w:tc>
          <w:tcPr>
            <w:tcW w:w="920" w:type="dxa"/>
            <w:vAlign w:val="bottom"/>
          </w:tcPr>
          <w:p>
            <w:pPr>
              <w:spacing w:after="0"/>
              <w:rPr>
                <w:sz w:val="18"/>
                <w:szCs w:val="18"/>
                <w:color w:val="auto"/>
              </w:rPr>
            </w:pPr>
          </w:p>
        </w:tc>
        <w:tc>
          <w:tcPr>
            <w:tcW w:w="10320" w:type="dxa"/>
            <w:vAlign w:val="bottom"/>
            <w:gridSpan w:val="27"/>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86"/>
        </w:trPr>
        <w:tc>
          <w:tcPr>
            <w:tcW w:w="920" w:type="dxa"/>
            <w:vAlign w:val="bottom"/>
          </w:tcPr>
          <w:p>
            <w:pPr>
              <w:spacing w:after="0"/>
              <w:rPr>
                <w:sz w:val="24"/>
                <w:szCs w:val="24"/>
                <w:color w:val="auto"/>
              </w:rPr>
            </w:pPr>
          </w:p>
        </w:tc>
        <w:tc>
          <w:tcPr>
            <w:tcW w:w="5600" w:type="dxa"/>
            <w:vAlign w:val="bottom"/>
            <w:gridSpan w:val="8"/>
          </w:tcPr>
          <w:p>
            <w:pPr>
              <w:ind w:left="4580"/>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02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02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8020" w:type="dxa"/>
            <w:vAlign w:val="bottom"/>
          </w:tcPr>
          <w:p>
            <w:pPr>
              <w:ind w:left="120"/>
              <w:spacing w:after="0"/>
              <w:rPr>
                <w:sz w:val="20"/>
                <w:szCs w:val="20"/>
                <w:color w:val="auto"/>
              </w:rPr>
            </w:pPr>
            <w:r>
              <w:rPr>
                <w:rFonts w:ascii="Arial" w:cs="Arial" w:eastAsia="Arial" w:hAnsi="Arial"/>
                <w:sz w:val="18"/>
                <w:szCs w:val="18"/>
                <w:color w:val="auto"/>
                <w:w w:val="91"/>
              </w:rPr>
              <w:t>Cover Page Interactive Data File (embedded within the Inline XBRL document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8770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9"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23" w:lineRule="exact"/>
        <w:rPr>
          <w:sz w:val="20"/>
          <w:szCs w:val="20"/>
          <w:color w:val="auto"/>
        </w:rPr>
      </w:pPr>
    </w:p>
    <w:p>
      <w:pPr>
        <w:ind w:left="580" w:hanging="572"/>
        <w:spacing w:after="0" w:line="26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the exhibit, which portions have been omitted and filed separately with the U.S. Securities and Exchange Commission.</w:t>
      </w:r>
    </w:p>
    <w:p>
      <w:pPr>
        <w:spacing w:after="0" w:line="28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41" w:right="6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HERON THERAPEUTICS, INC.</w:t>
      </w:r>
    </w:p>
    <w:p>
      <w:pPr>
        <w:spacing w:after="0" w:line="229" w:lineRule="exact"/>
        <w:rPr>
          <w:sz w:val="20"/>
          <w:szCs w:val="20"/>
          <w:color w:val="auto"/>
        </w:rPr>
      </w:pPr>
    </w:p>
    <w:p>
      <w:pPr>
        <w:spacing w:after="0"/>
        <w:tabs>
          <w:tab w:leader="none" w:pos="5620" w:val="left"/>
          <w:tab w:leader="none" w:pos="7980" w:val="left"/>
        </w:tabs>
        <w:rPr>
          <w:sz w:val="20"/>
          <w:szCs w:val="20"/>
          <w:color w:val="auto"/>
        </w:rPr>
      </w:pPr>
      <w:r>
        <w:rPr>
          <w:rFonts w:ascii="Arial" w:cs="Arial" w:eastAsia="Arial" w:hAnsi="Arial"/>
          <w:sz w:val="18"/>
          <w:szCs w:val="18"/>
          <w:color w:val="auto"/>
        </w:rPr>
        <w:t>DATE: February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BARRY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Barry Quart, Pharm.D.</w:t>
      </w:r>
    </w:p>
    <w:p>
      <w:pPr>
        <w:spacing w:after="0" w:line="6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Executive Officer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Barry Quart as his or her true and lawful attorney-in-fact and agent, with full power of substitution, for him or her and in his or her name, place and stead, in any and all capacities, with respect to this annual report and any and all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the said attorney-in-fact and agent or his or her substitute or substitutes, may lawfully do or cause to be done by virtue hereof.</w:t>
      </w:r>
    </w:p>
    <w:p>
      <w:pPr>
        <w:spacing w:after="0" w:line="195"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7"/>
        </w:trPr>
        <w:tc>
          <w:tcPr>
            <w:tcW w:w="3380" w:type="dxa"/>
            <w:vAlign w:val="bottom"/>
          </w:tcPr>
          <w:p>
            <w:pPr>
              <w:jc w:val="center"/>
              <w:spacing w:after="0"/>
              <w:rPr>
                <w:sz w:val="20"/>
                <w:szCs w:val="20"/>
                <w:color w:val="auto"/>
              </w:rPr>
            </w:pPr>
            <w:r>
              <w:rPr>
                <w:rFonts w:ascii="Arial" w:cs="Arial" w:eastAsia="Arial" w:hAnsi="Arial"/>
                <w:sz w:val="18"/>
                <w:szCs w:val="18"/>
                <w:color w:val="auto"/>
                <w:w w:val="98"/>
              </w:rPr>
              <w:t>/s/ BARRY QUART</w:t>
            </w:r>
          </w:p>
        </w:tc>
        <w:tc>
          <w:tcPr>
            <w:tcW w:w="120" w:type="dxa"/>
            <w:vAlign w:val="bottom"/>
          </w:tcPr>
          <w:p>
            <w:pPr>
              <w:spacing w:after="0"/>
              <w:rPr>
                <w:sz w:val="24"/>
                <w:szCs w:val="24"/>
                <w:color w:val="auto"/>
              </w:rPr>
            </w:pPr>
          </w:p>
        </w:tc>
        <w:tc>
          <w:tcPr>
            <w:tcW w:w="5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Executive Officer and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c>
          <w:tcPr>
            <w:tcW w:w="0" w:type="dxa"/>
            <w:vAlign w:val="bottom"/>
          </w:tcPr>
          <w:p>
            <w:pPr>
              <w:spacing w:after="0"/>
              <w:rPr>
                <w:sz w:val="1"/>
                <w:szCs w:val="1"/>
                <w:color w:val="auto"/>
              </w:rPr>
            </w:pPr>
          </w:p>
        </w:tc>
      </w:tr>
      <w:tr>
        <w:trPr>
          <w:trHeight w:val="122"/>
        </w:trPr>
        <w:tc>
          <w:tcPr>
            <w:tcW w:w="338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54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380" w:type="dxa"/>
            <w:vAlign w:val="bottom"/>
            <w:vMerge w:val="restart"/>
          </w:tcPr>
          <w:p>
            <w:pPr>
              <w:jc w:val="center"/>
              <w:spacing w:after="0"/>
              <w:rPr>
                <w:sz w:val="20"/>
                <w:szCs w:val="20"/>
                <w:color w:val="auto"/>
              </w:rPr>
            </w:pPr>
            <w:r>
              <w:rPr>
                <w:rFonts w:ascii="Arial" w:cs="Arial" w:eastAsia="Arial" w:hAnsi="Arial"/>
                <w:sz w:val="18"/>
                <w:szCs w:val="18"/>
                <w:color w:val="auto"/>
                <w:w w:val="91"/>
              </w:rPr>
              <w:t>Barry Quart, Pharm.D.</w:t>
            </w:r>
          </w:p>
        </w:tc>
        <w:tc>
          <w:tcPr>
            <w:tcW w:w="120" w:type="dxa"/>
            <w:vAlign w:val="bottom"/>
            <w:vMerge w:val="continue"/>
          </w:tcPr>
          <w:p>
            <w:pPr>
              <w:spacing w:after="0"/>
              <w:rPr>
                <w:sz w:val="6"/>
                <w:szCs w:val="6"/>
                <w:color w:val="auto"/>
              </w:rPr>
            </w:pPr>
          </w:p>
        </w:tc>
        <w:tc>
          <w:tcPr>
            <w:tcW w:w="5420" w:type="dxa"/>
            <w:vAlign w:val="bottom"/>
            <w:gridSpan w:val="2"/>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gridSpan w:val="2"/>
            <w:vMerge w:val="restart"/>
          </w:tcPr>
          <w:p>
            <w:pPr>
              <w:jc w:val="center"/>
              <w:ind w:right="120"/>
              <w:spacing w:after="0"/>
              <w:rPr>
                <w:sz w:val="20"/>
                <w:szCs w:val="20"/>
                <w:color w:val="auto"/>
              </w:rPr>
            </w:pPr>
            <w:r>
              <w:rPr>
                <w:rFonts w:ascii="Arial" w:cs="Arial" w:eastAsia="Arial" w:hAnsi="Arial"/>
                <w:sz w:val="18"/>
                <w:szCs w:val="18"/>
                <w:i w:val="1"/>
                <w:iCs w:val="1"/>
                <w:color w:val="auto"/>
                <w:w w:val="94"/>
              </w:rPr>
              <w:t>(Principal Executive Officer)</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20" w:type="dxa"/>
            <w:vAlign w:val="bottom"/>
            <w:gridSpan w:val="2"/>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3380" w:type="dxa"/>
            <w:vAlign w:val="bottom"/>
          </w:tcPr>
          <w:p>
            <w:pPr>
              <w:jc w:val="center"/>
              <w:spacing w:after="0"/>
              <w:rPr>
                <w:sz w:val="20"/>
                <w:szCs w:val="20"/>
                <w:color w:val="auto"/>
              </w:rPr>
            </w:pPr>
            <w:r>
              <w:rPr>
                <w:rFonts w:ascii="Arial" w:cs="Arial" w:eastAsia="Arial" w:hAnsi="Arial"/>
                <w:sz w:val="18"/>
                <w:szCs w:val="18"/>
                <w:color w:val="auto"/>
                <w:w w:val="99"/>
              </w:rPr>
              <w:t>/s/ LISA PERAZA</w:t>
            </w:r>
          </w:p>
        </w:tc>
        <w:tc>
          <w:tcPr>
            <w:tcW w:w="120" w:type="dxa"/>
            <w:vAlign w:val="bottom"/>
          </w:tcPr>
          <w:p>
            <w:pPr>
              <w:spacing w:after="0"/>
              <w:rPr>
                <w:sz w:val="24"/>
                <w:szCs w:val="24"/>
                <w:color w:val="auto"/>
              </w:rPr>
            </w:pPr>
          </w:p>
        </w:tc>
        <w:tc>
          <w:tcPr>
            <w:tcW w:w="5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Vice President, Chief Accounting Officer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5420" w:type="dxa"/>
            <w:vAlign w:val="bottom"/>
            <w:gridSpan w:val="2"/>
            <w:vMerge w:val="restart"/>
          </w:tcPr>
          <w:p>
            <w:pPr>
              <w:jc w:val="center"/>
              <w:ind w:right="12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8"/>
              </w:rPr>
              <w:t>Lisa Peraza</w:t>
            </w:r>
          </w:p>
        </w:tc>
        <w:tc>
          <w:tcPr>
            <w:tcW w:w="120" w:type="dxa"/>
            <w:vAlign w:val="bottom"/>
            <w:vMerge w:val="continue"/>
          </w:tcPr>
          <w:p>
            <w:pPr>
              <w:spacing w:after="0"/>
              <w:rPr>
                <w:sz w:val="19"/>
                <w:szCs w:val="19"/>
                <w:color w:val="auto"/>
              </w:rPr>
            </w:pPr>
          </w:p>
        </w:tc>
        <w:tc>
          <w:tcPr>
            <w:tcW w:w="542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STEPHEN DAVIS</w:t>
            </w:r>
          </w:p>
        </w:tc>
        <w:tc>
          <w:tcPr>
            <w:tcW w:w="120" w:type="dxa"/>
            <w:vAlign w:val="bottom"/>
          </w:tcPr>
          <w:p>
            <w:pPr>
              <w:spacing w:after="0"/>
              <w:rPr>
                <w:sz w:val="24"/>
                <w:szCs w:val="24"/>
                <w:color w:val="auto"/>
              </w:rPr>
            </w:pPr>
          </w:p>
        </w:tc>
        <w:tc>
          <w:tcPr>
            <w:tcW w:w="5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c>
          <w:tcPr>
            <w:tcW w:w="0" w:type="dxa"/>
            <w:vAlign w:val="bottom"/>
          </w:tcPr>
          <w:p>
            <w:pPr>
              <w:spacing w:after="0"/>
              <w:rPr>
                <w:sz w:val="1"/>
                <w:szCs w:val="1"/>
                <w:color w:val="auto"/>
              </w:rPr>
            </w:pPr>
          </w:p>
        </w:tc>
      </w:tr>
      <w:tr>
        <w:trPr>
          <w:trHeight w:val="256"/>
        </w:trPr>
        <w:tc>
          <w:tcPr>
            <w:tcW w:w="3380" w:type="dxa"/>
            <w:vAlign w:val="bottom"/>
          </w:tcPr>
          <w:p>
            <w:pPr>
              <w:jc w:val="center"/>
              <w:spacing w:after="0"/>
              <w:rPr>
                <w:sz w:val="20"/>
                <w:szCs w:val="20"/>
                <w:color w:val="auto"/>
              </w:rPr>
            </w:pPr>
            <w:r>
              <w:rPr>
                <w:rFonts w:ascii="Arial" w:cs="Arial" w:eastAsia="Arial" w:hAnsi="Arial"/>
                <w:sz w:val="18"/>
                <w:szCs w:val="18"/>
                <w:color w:val="auto"/>
                <w:w w:val="88"/>
              </w:rPr>
              <w:t>Stephen Davis</w:t>
            </w:r>
          </w:p>
        </w:tc>
        <w:tc>
          <w:tcPr>
            <w:tcW w:w="1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CRAIG JOHNSON</w:t>
            </w:r>
          </w:p>
        </w:tc>
        <w:tc>
          <w:tcPr>
            <w:tcW w:w="120" w:type="dxa"/>
            <w:vAlign w:val="bottom"/>
          </w:tcPr>
          <w:p>
            <w:pPr>
              <w:spacing w:after="0"/>
              <w:rPr>
                <w:sz w:val="24"/>
                <w:szCs w:val="24"/>
                <w:color w:val="auto"/>
              </w:rPr>
            </w:pPr>
          </w:p>
        </w:tc>
        <w:tc>
          <w:tcPr>
            <w:tcW w:w="5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c>
          <w:tcPr>
            <w:tcW w:w="0" w:type="dxa"/>
            <w:vAlign w:val="bottom"/>
          </w:tcPr>
          <w:p>
            <w:pPr>
              <w:spacing w:after="0"/>
              <w:rPr>
                <w:sz w:val="1"/>
                <w:szCs w:val="1"/>
                <w:color w:val="auto"/>
              </w:rPr>
            </w:pPr>
          </w:p>
        </w:tc>
      </w:tr>
      <w:tr>
        <w:trPr>
          <w:trHeight w:val="257"/>
        </w:trPr>
        <w:tc>
          <w:tcPr>
            <w:tcW w:w="3380" w:type="dxa"/>
            <w:vAlign w:val="bottom"/>
          </w:tcPr>
          <w:p>
            <w:pPr>
              <w:jc w:val="center"/>
              <w:spacing w:after="0"/>
              <w:rPr>
                <w:sz w:val="20"/>
                <w:szCs w:val="20"/>
                <w:color w:val="auto"/>
              </w:rPr>
            </w:pPr>
            <w:r>
              <w:rPr>
                <w:rFonts w:ascii="Arial" w:cs="Arial" w:eastAsia="Arial" w:hAnsi="Arial"/>
                <w:sz w:val="18"/>
                <w:szCs w:val="18"/>
                <w:color w:val="auto"/>
                <w:w w:val="89"/>
              </w:rPr>
              <w:t>Craig Johnson</w:t>
            </w:r>
          </w:p>
        </w:tc>
        <w:tc>
          <w:tcPr>
            <w:tcW w:w="1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KIMBERLY MANHARD</w:t>
            </w:r>
          </w:p>
        </w:tc>
        <w:tc>
          <w:tcPr>
            <w:tcW w:w="120" w:type="dxa"/>
            <w:vAlign w:val="bottom"/>
          </w:tcPr>
          <w:p>
            <w:pPr>
              <w:spacing w:after="0"/>
              <w:rPr>
                <w:sz w:val="24"/>
                <w:szCs w:val="24"/>
                <w:color w:val="auto"/>
              </w:rPr>
            </w:pPr>
          </w:p>
        </w:tc>
        <w:tc>
          <w:tcPr>
            <w:tcW w:w="5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Vice President, Drug Development and 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4"/>
              </w:rPr>
              <w:t>Kimberly Manhard</w:t>
            </w:r>
          </w:p>
        </w:tc>
        <w:tc>
          <w:tcPr>
            <w:tcW w:w="1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CHRISTIAN WAAGE</w:t>
            </w:r>
          </w:p>
        </w:tc>
        <w:tc>
          <w:tcPr>
            <w:tcW w:w="120" w:type="dxa"/>
            <w:vAlign w:val="bottom"/>
          </w:tcPr>
          <w:p>
            <w:pPr>
              <w:spacing w:after="0"/>
              <w:rPr>
                <w:sz w:val="24"/>
                <w:szCs w:val="24"/>
                <w:color w:val="auto"/>
              </w:rPr>
            </w:pPr>
          </w:p>
        </w:tc>
        <w:tc>
          <w:tcPr>
            <w:tcW w:w="5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24, 2021</w:t>
            </w:r>
          </w:p>
        </w:tc>
        <w:tc>
          <w:tcPr>
            <w:tcW w:w="0" w:type="dxa"/>
            <w:vAlign w:val="bottom"/>
          </w:tcPr>
          <w:p>
            <w:pPr>
              <w:spacing w:after="0"/>
              <w:rPr>
                <w:sz w:val="1"/>
                <w:szCs w:val="1"/>
                <w:color w:val="auto"/>
              </w:rPr>
            </w:pP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0"/>
              </w:rPr>
              <w:t>Christian Waage</w:t>
            </w:r>
          </w:p>
        </w:tc>
        <w:tc>
          <w:tcPr>
            <w:tcW w:w="1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3380" w:type="dxa"/>
            <w:vAlign w:val="bottom"/>
          </w:tcPr>
          <w:p>
            <w:pPr>
              <w:spacing w:after="0"/>
              <w:rPr>
                <w:sz w:val="24"/>
                <w:szCs w:val="24"/>
                <w:color w:val="auto"/>
              </w:rPr>
            </w:pPr>
          </w:p>
        </w:tc>
        <w:tc>
          <w:tcPr>
            <w:tcW w:w="5420" w:type="dxa"/>
            <w:vAlign w:val="bottom"/>
            <w:gridSpan w:val="2"/>
          </w:tcPr>
          <w:p>
            <w:pPr>
              <w:jc w:val="right"/>
              <w:ind w:right="295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hereby consent to the incorporation by reference in the Registration Statements on Form S-8 (Nos. 333-35151, 333-90428, 333-118546, 333-127574, 333-137954, 333-148660, 333-162610, 333-167515, 333-176365, 333-176366, 333-190549, 333-198853, 333-206165, 333-214503, 333-219830 and 333-233023) of Heron Therapeutics, Inc. of our reports dated February 24, 2021 relating to the consolidated financial statements and the effectiveness of Heron Therapeutics, Inc.’s internal control over financial reporting, which appear 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 OUM &amp; CO.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2021</w:t>
      </w:r>
    </w:p>
    <w:p>
      <w:pPr>
        <w:sectPr>
          <w:pgSz w:w="11900" w:h="16838" w:orient="portrait"/>
          <w:cols w:equalWidth="0" w:num="1">
            <w:col w:w="11240"/>
          </w:cols>
          <w:pgMar w:left="320" w:top="1062"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Barry Quart, certify that:</w:t>
      </w:r>
    </w:p>
    <w:p>
      <w:pPr>
        <w:spacing w:after="0" w:line="225" w:lineRule="exact"/>
        <w:rPr>
          <w:sz w:val="20"/>
          <w:szCs w:val="20"/>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Heron Therapeutics,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February 24, 2021</w:t>
            </w:r>
          </w:p>
        </w:tc>
        <w:tc>
          <w:tcPr>
            <w:tcW w:w="2200" w:type="dxa"/>
            <w:vAlign w:val="bottom"/>
          </w:tcPr>
          <w:p>
            <w:pPr>
              <w:ind w:left="1920"/>
              <w:spacing w:after="0"/>
              <w:rPr>
                <w:sz w:val="20"/>
                <w:szCs w:val="20"/>
                <w:color w:val="auto"/>
              </w:rPr>
            </w:pPr>
            <w:r>
              <w:rPr>
                <w:rFonts w:ascii="Arial" w:cs="Arial" w:eastAsia="Arial" w:hAnsi="Arial"/>
                <w:sz w:val="18"/>
                <w:szCs w:val="18"/>
                <w:color w:val="auto"/>
                <w:w w:val="99"/>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Barry Quart</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Barry Quart, Pharm.D.</w:t>
            </w: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(As Principal Executive Officer)</w:t>
            </w:r>
          </w:p>
        </w:tc>
      </w:tr>
    </w:tbl>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Lisa Peraza, certify that:</w:t>
      </w:r>
    </w:p>
    <w:p>
      <w:pPr>
        <w:spacing w:after="0" w:line="225" w:lineRule="exact"/>
        <w:rPr>
          <w:sz w:val="20"/>
          <w:szCs w:val="20"/>
          <w:color w:val="auto"/>
        </w:rPr>
      </w:pPr>
    </w:p>
    <w:p>
      <w:pPr>
        <w:ind w:left="620" w:hanging="61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Heron Therapeutics,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February 24, 2021</w:t>
            </w:r>
          </w:p>
        </w:tc>
        <w:tc>
          <w:tcPr>
            <w:tcW w:w="2200" w:type="dxa"/>
            <w:vAlign w:val="bottom"/>
          </w:tcPr>
          <w:p>
            <w:pPr>
              <w:ind w:left="1920"/>
              <w:spacing w:after="0"/>
              <w:rPr>
                <w:sz w:val="20"/>
                <w:szCs w:val="20"/>
                <w:color w:val="auto"/>
              </w:rPr>
            </w:pPr>
            <w:r>
              <w:rPr>
                <w:rFonts w:ascii="Arial" w:cs="Arial" w:eastAsia="Arial" w:hAnsi="Arial"/>
                <w:sz w:val="18"/>
                <w:szCs w:val="18"/>
                <w:color w:val="auto"/>
                <w:w w:val="99"/>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Lisa Peraza</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88"/>
              </w:rPr>
              <w:t>Lisa Peraza</w:t>
            </w: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2"/>
              </w:rPr>
              <w:t>Vice President, Chief Accounting Officer</w:t>
            </w: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(As Principal Financial and Accounting Officer)</w:t>
            </w:r>
          </w:p>
        </w:tc>
      </w:tr>
    </w:tbl>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undersigned, in his capacity as Chief Executive Officer and her capacity as Vice President, Chief Accounting Officer, as applicable, of Heron Therapeutics, Inc. (the "Registrant"), hereby certifies, for purposes of 18 U.S.C. Section 1350, as adopted pursuant to Section 906 of the Sarbanes-Oxley Act of 2002, to the best of his or her knowledge that:</w:t>
      </w:r>
    </w:p>
    <w:p>
      <w:pPr>
        <w:spacing w:after="0" w:line="143" w:lineRule="exact"/>
        <w:rPr>
          <w:sz w:val="20"/>
          <w:szCs w:val="20"/>
          <w:color w:val="auto"/>
        </w:rPr>
      </w:pPr>
    </w:p>
    <w:p>
      <w:pPr>
        <w:ind w:left="1340" w:right="20" w:hanging="441"/>
        <w:spacing w:after="0" w:line="308" w:lineRule="auto"/>
        <w:tabs>
          <w:tab w:leader="none" w:pos="1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Annual Report of the Registrant on Form 10-K for the year ended December 31, 2020 (the “Report”), which accompanies this certification,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1340" w:hanging="441"/>
        <w:spacing w:after="0" w:line="277"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Registrant at the end of such year and the results of operations of the Registrant for such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Barry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Barry Quart, Pharm.D.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Lisa Peraza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Lisa Peraza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Chief Accounting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Principal Financial and Accounting Officer)</w:t>
      </w: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to be filed with the Securities and Exchange Commission and is not to be incorporated by reference into any filing of Heron Therapeutics, Inc. under the Securities Act of 1933, as amended, or the Securities Exchange Act of 1934, as amended (whether made before or after the date of the Report), irrespective of any general incorporation language contained in such filing.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A signed original of this written statement required by Section 906 has been provided to Heron Therapeutics, Inc. and will be retained by Heron Therapeutics,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2"/>
    </w:lvl>
  </w:abstractNum>
  <w:abstractNum w:abstractNumId="37">
    <w:nsid w:val="749ABB43"/>
    <w:multiLevelType w:val="hybridMultilevel"/>
    <w:lvl w:ilvl="0">
      <w:lvlJc w:val="left"/>
      <w:lvlText w:val="%1)"/>
      <w:numFmt w:val="decimal"/>
      <w:start w:val="842"/>
    </w:lvl>
  </w:abstractNum>
  <w:abstractNum w:abstractNumId="38">
    <w:nsid w:val="3DC240FB"/>
    <w:multiLevelType w:val="hybridMultilevel"/>
    <w:lvl w:ilvl="0">
      <w:lvlJc w:val="left"/>
      <w:lvlText w:val="%1."/>
      <w:numFmt w:val="decimal"/>
      <w:start w:val="3"/>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4"/>
    </w:lvl>
  </w:abstractNum>
  <w:abstractNum w:abstractNumId="41">
    <w:nsid w:val="75C6C33A"/>
    <w:multiLevelType w:val="hybridMultilevel"/>
    <w:lvl w:ilvl="0">
      <w:lvlJc w:val="left"/>
      <w:lvlText w:val="%1."/>
      <w:numFmt w:val="decimal"/>
      <w:start w:val="5"/>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6"/>
    </w:lvl>
  </w:abstractNum>
  <w:abstractNum w:abstractNumId="44">
    <w:nsid w:val="520EEDD1"/>
    <w:multiLevelType w:val="hybridMultilevel"/>
    <w:lvl w:ilvl="0">
      <w:lvlJc w:val="left"/>
      <w:lvlText w:val="%1."/>
      <w:numFmt w:val="decimal"/>
      <w:start w:val="7"/>
    </w:lvl>
  </w:abstractNum>
  <w:abstractNum w:abstractNumId="45">
    <w:nsid w:val="374A3FE6"/>
    <w:multiLevelType w:val="hybridMultilevel"/>
    <w:lvl w:ilvl="0">
      <w:lvlJc w:val="left"/>
      <w:lvlText w:val="%1."/>
      <w:numFmt w:val="decimal"/>
      <w:start w:val="8"/>
    </w:lvl>
  </w:abstractNum>
  <w:abstractNum w:abstractNumId="46">
    <w:nsid w:val="4F4EF005"/>
    <w:multiLevelType w:val="hybridMultilevel"/>
    <w:lvl w:ilvl="0">
      <w:lvlJc w:val="left"/>
      <w:lvlText w:val="%1."/>
      <w:numFmt w:val="decimal"/>
      <w:start w:val="9"/>
    </w:lvl>
  </w:abstractNum>
  <w:abstractNum w:abstractNumId="47">
    <w:nsid w:val="23F9C13C"/>
    <w:multiLevelType w:val="hybridMultilevel"/>
    <w:lvl w:ilvl="0">
      <w:lvlJc w:val="left"/>
      <w:lvlText w:val="(%1)"/>
      <w:numFmt w:val="lowerRoman"/>
      <w:start w:val="2"/>
    </w:lvl>
  </w:abstractNum>
  <w:abstractNum w:abstractNumId="48">
    <w:nsid w:val="649BB77C"/>
    <w:multiLevelType w:val="hybridMultilevel"/>
    <w:lvl w:ilvl="0">
      <w:lvlJc w:val="left"/>
      <w:lvlText w:val="%1."/>
      <w:numFmt w:val="decimal"/>
      <w:start w:val="10"/>
    </w:lvl>
  </w:abstractNum>
  <w:abstractNum w:abstractNumId="49">
    <w:nsid w:val="275AC794"/>
    <w:multiLevelType w:val="hybridMultilevel"/>
    <w:lvl w:ilvl="0">
      <w:lvlJc w:val="left"/>
      <w:lvlText w:val="%1."/>
      <w:numFmt w:val="decimal"/>
      <w:start w:val="11"/>
    </w:lvl>
  </w:abstractNum>
  <w:abstractNum w:abstractNumId="50">
    <w:nsid w:val="39386575"/>
    <w:multiLevelType w:val="hybridMultilevel"/>
    <w:lvl w:ilvl="0">
      <w:lvlJc w:val="left"/>
      <w:lvlText w:val="%1."/>
      <w:numFmt w:val="decimal"/>
      <w:start w:val="12"/>
    </w:lvl>
  </w:abstractNum>
  <w:abstractNum w:abstractNumId="51">
    <w:nsid w:val="1CF10FD8"/>
    <w:multiLevelType w:val="hybridMultilevel"/>
    <w:lvl w:ilvl="0">
      <w:lvlJc w:val="left"/>
      <w:lvlText w:val="%1."/>
      <w:numFmt w:val="decimal"/>
      <w:start w:val="13"/>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2"/>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lowerLetter"/>
      <w:start w:val="3"/>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39" Type="http://schemas.openxmlformats.org/officeDocument/2006/relationships/hyperlink" Target="http://www.sec.gov/Archives/edgar/data/0000818033/000119312509163712/dex31.htm" TargetMode="External"/><Relationship Id="rId140" Type="http://schemas.openxmlformats.org/officeDocument/2006/relationships/hyperlink" Target="http://www.sec.gov/Archives/edgar/data/0000818033/000119312511179119/dex31.htm" TargetMode="External"/><Relationship Id="rId141" Type="http://schemas.openxmlformats.org/officeDocument/2006/relationships/hyperlink" Target="http://www.sec.gov/Archives/edgar/data/0000818033/000119312514009260/d659835dex31.htm" TargetMode="External"/><Relationship Id="rId142" Type="http://schemas.openxmlformats.org/officeDocument/2006/relationships/hyperlink" Target="http://www.sec.gov/Archives/edgar/data/0000818033/000119312517222989/d413369dex34.htm" TargetMode="External"/><Relationship Id="rId143" Type="http://schemas.openxmlformats.org/officeDocument/2006/relationships/hyperlink" Target="http://www.sec.gov/Archives/edgar/data/0000818033/000119312519047780/d697177dex36.htm" TargetMode="External"/><Relationship Id="rId144" Type="http://schemas.openxmlformats.org/officeDocument/2006/relationships/hyperlink" Target="http://www.sec.gov/Archives/edgar/data/0000818033/000119312519032236/d699071dex31.htm" TargetMode="External"/><Relationship Id="rId145" Type="http://schemas.openxmlformats.org/officeDocument/2006/relationships/hyperlink" Target="http://www.sec.gov/Archives/edgar/data/0000818033/000119312509227789/dex41.htm" TargetMode="External"/><Relationship Id="rId146" Type="http://schemas.openxmlformats.org/officeDocument/2006/relationships/hyperlink" Target="http://www.sec.gov/Archives/edgar/data/0000818033/000119312514253471/d750687dex41.htm" TargetMode="External"/><Relationship Id="rId147" Type="http://schemas.openxmlformats.org/officeDocument/2006/relationships/hyperlink" Target="http://www.sec.gov/Archives/edgar/data/0000818033/000081803309000041/appa8k101909ex103.htm" TargetMode="External"/><Relationship Id="rId148" Type="http://schemas.openxmlformats.org/officeDocument/2006/relationships/hyperlink" Target="http://www.sec.gov/Archives/edgar/data/0000818033/000081803306000121/appa8k121906ex3c.txt" TargetMode="External"/><Relationship Id="rId149" Type="http://schemas.openxmlformats.org/officeDocument/2006/relationships/hyperlink" Target="http://www.sec.gov/Archives/edgar/data/0000818033/000156459020007973/hrtx-ex45_232.htm" TargetMode="External"/><Relationship Id="rId150" Type="http://schemas.openxmlformats.org/officeDocument/2006/relationships/hyperlink" Target="http://www.sec.gov/Archives/edgar/data/0000818033/000119312519122529/d655532ddef14a.htm" TargetMode="External"/><Relationship Id="rId151" Type="http://schemas.openxmlformats.org/officeDocument/2006/relationships/hyperlink" Target="http://www.sec.gov/Archives/edgar/data/0000818033/000081803308000004/appas80108ex43.htm" TargetMode="External"/><Relationship Id="rId152" Type="http://schemas.openxmlformats.org/officeDocument/2006/relationships/hyperlink" Target="http://www.sec.gov/Archives/edgar/data/0000818033/000081803308000004/appas80108ex44.htm" TargetMode="External"/><Relationship Id="rId153" Type="http://schemas.openxmlformats.org/officeDocument/2006/relationships/hyperlink" Target="http://www.sec.gov/Archives/edgar/data/0000818033/000119312508070784/dex10o.htm" TargetMode="External"/><Relationship Id="rId154" Type="http://schemas.openxmlformats.org/officeDocument/2006/relationships/hyperlink" Target="http://www.sec.gov/Archives/edgar/data/0000818033/000119312508070784/dex10s.htm" TargetMode="External"/><Relationship Id="rId155" Type="http://schemas.openxmlformats.org/officeDocument/2006/relationships/hyperlink" Target="http://www.sec.gov/Archives/edgar/data/0000818033/000081803309000041/appa8k101909ex102.htm" TargetMode="External"/><Relationship Id="rId156" Type="http://schemas.openxmlformats.org/officeDocument/2006/relationships/hyperlink" Target="http://www.sec.gov/Archives/edgar/data/0000818033/000119312511115399/dex101.htm" TargetMode="External"/><Relationship Id="rId157" Type="http://schemas.openxmlformats.org/officeDocument/2006/relationships/hyperlink" Target="http://www.sec.gov/Archives/edgar/data/0000818033/000119312511115399/dex102.htm" TargetMode="External"/><Relationship Id="rId158" Type="http://schemas.openxmlformats.org/officeDocument/2006/relationships/hyperlink" Target="http://www.sec.gov/Archives/edgar/data/0000818033/000119312511115399/dex103.htm" TargetMode="External"/><Relationship Id="rId159" Type="http://schemas.openxmlformats.org/officeDocument/2006/relationships/hyperlink" Target="http://www.sec.gov/Archives/edgar/data/0000818033/000119312511179119/dex101.htm" TargetMode="External"/><Relationship Id="rId162" Type="http://schemas.openxmlformats.org/officeDocument/2006/relationships/hyperlink" Target="http://www.sec.gov/Archives/edgar/data/0000818033/000119312511179119/dex102.htm" TargetMode="External"/><Relationship Id="rId163" Type="http://schemas.openxmlformats.org/officeDocument/2006/relationships/hyperlink" Target="http://www.sec.gov/Archives/edgar/data/0000818033/000119312512313606/d383918dex102.htm" TargetMode="External"/><Relationship Id="rId164" Type="http://schemas.openxmlformats.org/officeDocument/2006/relationships/hyperlink" Target="http://www.sec.gov/Archives/edgar/data/0000818033/000119312513213597/d534545dex10ai.htm" TargetMode="External"/><Relationship Id="rId165" Type="http://schemas.openxmlformats.org/officeDocument/2006/relationships/hyperlink" Target="http://www.sec.gov/Archives/edgar/data/0000818033/000119312513325343/d578413dex10al.htm" TargetMode="External"/><Relationship Id="rId166" Type="http://schemas.openxmlformats.org/officeDocument/2006/relationships/hyperlink" Target="http://www.sec.gov/Archives/edgar/data/0000818033/000119312515179414/d924919dex101.htm" TargetMode="External"/><Relationship Id="rId167" Type="http://schemas.openxmlformats.org/officeDocument/2006/relationships/hyperlink" Target="http://www.sec.gov/Archives/edgar/data/0000818033/000119312515206694/d933496dex101.htm" TargetMode="External"/><Relationship Id="rId168" Type="http://schemas.openxmlformats.org/officeDocument/2006/relationships/hyperlink" Target="http://www.sec.gov/Archives/edgar/data/0000818033/000119312516803240/d287111dex1036.htm" TargetMode="External"/><Relationship Id="rId169" Type="http://schemas.openxmlformats.org/officeDocument/2006/relationships/hyperlink" Target="http://www.sec.gov/Archives/edgar/data/0000818033/000119312516579939/d191733dex101.htm" TargetMode="External"/><Relationship Id="rId170" Type="http://schemas.openxmlformats.org/officeDocument/2006/relationships/hyperlink" Target="http://www.sec.gov/Archives/edgar/data/0000818033/000119312516763038/d256947dex103.htm" TargetMode="External"/><Relationship Id="rId171" Type="http://schemas.openxmlformats.org/officeDocument/2006/relationships/hyperlink" Target="http://www.sec.gov/Archives/edgar/data/0000818033/000129993317000263/exhibit1.htm" TargetMode="External"/><Relationship Id="rId172" Type="http://schemas.openxmlformats.org/officeDocument/2006/relationships/hyperlink" Target="http://www.sec.gov/Archives/edgar/data/0000818033/000119312517252860/d439476dex101.htm" TargetMode="External"/><Relationship Id="rId173" Type="http://schemas.openxmlformats.org/officeDocument/2006/relationships/hyperlink" Target="http://www.sec.gov/Archives/edgar/data/0000818033/000119312518158506/d570756dex101.htm" TargetMode="External"/><Relationship Id="rId174" Type="http://schemas.openxmlformats.org/officeDocument/2006/relationships/hyperlink" Target="http://www.sec.gov/Archives/edgar/data/0000818033/000156459019028537/hrtx-ex101_26.htm" TargetMode="External"/><Relationship Id="rId175" Type="http://schemas.openxmlformats.org/officeDocument/2006/relationships/hyperlink" Target="http://www.sec.gov/Archives/edgar/data/0000818033/000156459019046547/hrtx-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2021-02-24T07:49:49Z</dcterms:created>
  <dcterms:modified xsi:type="dcterms:W3CDTF">2021-02-24T07:49:49Z</dcterms:modified>
</cp:coreProperties>
</file>