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(Amendment No. 6 )*</w:t>
      </w:r>
    </w:p>
    <w:p>
      <w:pPr>
        <w:spacing w:after="0" w:line="200" w:lineRule="exact"/>
        <w:rPr>
          <w:sz w:val="24"/>
          <w:szCs w:val="24"/>
          <w:color w:val="auto"/>
        </w:rPr>
      </w:pPr>
    </w:p>
    <w:p>
      <w:pPr>
        <w:spacing w:after="0" w:line="252" w:lineRule="exact"/>
        <w:rPr>
          <w:sz w:val="24"/>
          <w:szCs w:val="24"/>
          <w:color w:val="auto"/>
        </w:rPr>
      </w:pPr>
    </w:p>
    <w:p>
      <w:pPr>
        <w:jc w:val="center"/>
        <w:ind w:right="-5"/>
        <w:spacing w:after="0"/>
        <w:rPr>
          <w:sz w:val="20"/>
          <w:szCs w:val="20"/>
          <w:color w:val="auto"/>
        </w:rPr>
      </w:pPr>
      <w:r>
        <w:rPr>
          <w:rFonts w:ascii="Arial" w:cs="Arial" w:eastAsia="Arial" w:hAnsi="Arial"/>
          <w:sz w:val="43"/>
          <w:szCs w:val="43"/>
          <w:b w:val="1"/>
          <w:bCs w:val="1"/>
          <w:color w:val="auto"/>
        </w:rPr>
        <w:t>A.P.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31115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00202J203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Kevin C. Tang</w:t>
      </w:r>
    </w:p>
    <w:p>
      <w:pPr>
        <w:spacing w:after="0" w:line="23"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Tang Capital Management, LLC</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4401 Eastgate Mall</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San Diego, CA 92121</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(858) 200-3830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Receive Notices and Communications)</w:t>
      </w:r>
    </w:p>
    <w:p>
      <w:pPr>
        <w:spacing w:after="0" w:line="211"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May 14,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6"/>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x</w:t>
      </w:r>
    </w:p>
    <w:p>
      <w:pPr>
        <w:spacing w:after="0" w:line="193" w:lineRule="exact"/>
        <w:rPr>
          <w:sz w:val="24"/>
          <w:szCs w:val="24"/>
          <w:color w:val="auto"/>
        </w:rPr>
      </w:pPr>
    </w:p>
    <w:p>
      <w:pPr>
        <w:ind w:left="6"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93" w:lineRule="exact"/>
        <w:rPr>
          <w:sz w:val="24"/>
          <w:szCs w:val="24"/>
          <w:color w:val="auto"/>
        </w:rPr>
      </w:pPr>
    </w:p>
    <w:p>
      <w:pPr>
        <w:ind w:left="6" w:right="20" w:hanging="6"/>
        <w:spacing w:after="0" w:line="308" w:lineRule="auto"/>
        <w:tabs>
          <w:tab w:leader="none" w:pos="16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jc w:val="both"/>
        <w:ind w:left="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ind w:left="3826"/>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-309880</wp:posOffset>
            </wp:positionH>
            <wp:positionV relativeFrom="paragraph">
              <wp:posOffset>90170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6"/>
          </w:cols>
          <w:pgMar w:left="734" w:top="306" w:right="719" w:bottom="1440" w:gutter="0" w:footer="0" w:header="0"/>
        </w:sectPr>
      </w:pPr>
    </w:p>
    <w:bookmarkStart w:id="1" w:name="page2"/>
    <w:bookmarkEnd w:id="1"/>
    <w:p>
      <w:pPr>
        <w:spacing w:after="0"/>
        <w:tabs>
          <w:tab w:leader="none" w:pos="5180" w:val="left"/>
          <w:tab w:leader="none" w:pos="61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00202J203</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6"/>
          <w:szCs w:val="16"/>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4" w:lineRule="exact"/>
        <w:rPr>
          <w:sz w:val="20"/>
          <w:szCs w:val="20"/>
          <w:color w:val="auto"/>
        </w:rPr>
      </w:pPr>
    </w:p>
    <w:p>
      <w:pPr>
        <w:ind w:left="1360" w:hanging="93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Tang Capital Partners, LP</w:t>
      </w:r>
    </w:p>
    <w:p>
      <w:pPr>
        <w:spacing w:after="0" w:line="121" w:lineRule="exact"/>
        <w:rPr>
          <w:rFonts w:ascii="Arial" w:cs="Arial" w:eastAsia="Arial" w:hAnsi="Arial"/>
          <w:sz w:val="18"/>
          <w:szCs w:val="18"/>
          <w:color w:val="auto"/>
        </w:rPr>
      </w:pPr>
    </w:p>
    <w:p>
      <w:pPr>
        <w:ind w:left="1320" w:hanging="891"/>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2060" w:hanging="247"/>
        <w:spacing w:after="0" w:line="207" w:lineRule="exact"/>
        <w:tabs>
          <w:tab w:leader="none" w:pos="20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2060" w:hanging="247"/>
        <w:spacing w:after="0" w:line="207" w:lineRule="exact"/>
        <w:tabs>
          <w:tab w:leader="none" w:pos="20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1" w:lineRule="exact"/>
        <w:rPr>
          <w:rFonts w:ascii="Arial" w:cs="Arial" w:eastAsia="Arial" w:hAnsi="Arial"/>
          <w:sz w:val="18"/>
          <w:szCs w:val="18"/>
          <w:color w:val="auto"/>
        </w:rPr>
      </w:pPr>
    </w:p>
    <w:p>
      <w:pPr>
        <w:ind w:left="1360" w:hanging="93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1360" w:hanging="93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121" w:lineRule="exact"/>
        <w:rPr>
          <w:rFonts w:ascii="Arial" w:cs="Arial" w:eastAsia="Arial" w:hAnsi="Arial"/>
          <w:sz w:val="18"/>
          <w:szCs w:val="18"/>
          <w:color w:val="auto"/>
        </w:rPr>
      </w:pPr>
    </w:p>
    <w:p>
      <w:pPr>
        <w:ind w:left="1360" w:hanging="93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 Is Required Pursuant to Items 2(d) or 2(e)</w:t>
      </w:r>
    </w:p>
    <w:p>
      <w:pPr>
        <w:spacing w:after="0" w:line="18" w:lineRule="exact"/>
        <w:rPr>
          <w:rFonts w:ascii="Arial" w:cs="Arial" w:eastAsia="Arial" w:hAnsi="Arial"/>
          <w:sz w:val="18"/>
          <w:szCs w:val="18"/>
          <w:color w:val="auto"/>
        </w:rPr>
      </w:pPr>
    </w:p>
    <w:p>
      <w:pPr>
        <w:ind w:left="19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4" w:lineRule="exact"/>
        <w:rPr>
          <w:rFonts w:ascii="Arial" w:cs="Arial" w:eastAsia="Arial" w:hAnsi="Arial"/>
          <w:sz w:val="18"/>
          <w:szCs w:val="18"/>
          <w:color w:val="auto"/>
        </w:rPr>
      </w:pPr>
    </w:p>
    <w:p>
      <w:pPr>
        <w:ind w:left="1360" w:hanging="93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-1811020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-1330960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-988060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-507365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-164465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5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960" w:type="dxa"/>
            <w:vAlign w:val="bottom"/>
          </w:tcPr>
          <w:p>
            <w:pPr>
              <w:spacing w:after="0"/>
              <w:rPr>
                <w:sz w:val="20"/>
                <w:szCs w:val="20"/>
                <w:color w:val="auto"/>
              </w:rPr>
            </w:pPr>
            <w:r>
              <w:rPr>
                <w:rFonts w:ascii="Arial" w:cs="Arial" w:eastAsia="Arial" w:hAnsi="Arial"/>
                <w:sz w:val="18"/>
                <w:szCs w:val="18"/>
                <w:color w:val="auto"/>
              </w:rPr>
              <w:t>Shares Beneficially</w:t>
            </w:r>
          </w:p>
        </w:tc>
        <w:tc>
          <w:tcPr>
            <w:tcW w:w="720" w:type="dxa"/>
            <w:vAlign w:val="bottom"/>
          </w:tcPr>
          <w:p>
            <w:pPr>
              <w:spacing w:after="0"/>
              <w:rPr>
                <w:sz w:val="19"/>
                <w:szCs w:val="19"/>
                <w:color w:val="auto"/>
              </w:rPr>
            </w:pPr>
          </w:p>
        </w:tc>
        <w:tc>
          <w:tcPr>
            <w:tcW w:w="8520" w:type="dxa"/>
            <w:vAlign w:val="bottom"/>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2"/>
        </w:trPr>
        <w:tc>
          <w:tcPr>
            <w:tcW w:w="19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720" w:type="dxa"/>
            <w:vAlign w:val="bottom"/>
            <w:tcBorders>
              <w:bottom w:val="single" w:sz="8" w:color="auto"/>
            </w:tcBorders>
          </w:tcPr>
          <w:p>
            <w:pPr>
              <w:spacing w:after="0"/>
              <w:rPr>
                <w:sz w:val="5"/>
                <w:szCs w:val="5"/>
                <w:color w:val="auto"/>
              </w:rPr>
            </w:pPr>
          </w:p>
        </w:tc>
        <w:tc>
          <w:tcPr>
            <w:tcW w:w="8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60" w:type="dxa"/>
            <w:vAlign w:val="bottom"/>
            <w:vMerge w:val="continue"/>
          </w:tcPr>
          <w:p>
            <w:pPr>
              <w:spacing w:after="0"/>
              <w:rPr>
                <w:sz w:val="11"/>
                <w:szCs w:val="11"/>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4"/>
        </w:trPr>
        <w:tc>
          <w:tcPr>
            <w:tcW w:w="196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720" w:type="dxa"/>
            <w:vAlign w:val="bottom"/>
            <w:vMerge w:val="continue"/>
          </w:tcPr>
          <w:p>
            <w:pPr>
              <w:spacing w:after="0"/>
              <w:rPr>
                <w:sz w:val="9"/>
                <w:szCs w:val="9"/>
                <w:color w:val="auto"/>
              </w:rPr>
            </w:pPr>
          </w:p>
        </w:tc>
        <w:tc>
          <w:tcPr>
            <w:tcW w:w="8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5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10,436,506</w:t>
            </w:r>
          </w:p>
        </w:tc>
        <w:tc>
          <w:tcPr>
            <w:tcW w:w="0" w:type="dxa"/>
            <w:vAlign w:val="bottom"/>
          </w:tcPr>
          <w:p>
            <w:pPr>
              <w:spacing w:after="0"/>
              <w:rPr>
                <w:sz w:val="1"/>
                <w:szCs w:val="1"/>
                <w:color w:val="auto"/>
              </w:rPr>
            </w:pPr>
          </w:p>
        </w:tc>
      </w:tr>
      <w:tr>
        <w:trPr>
          <w:trHeight w:val="122"/>
        </w:trPr>
        <w:tc>
          <w:tcPr>
            <w:tcW w:w="1960" w:type="dxa"/>
            <w:vAlign w:val="bottom"/>
            <w:vMerge w:val="restart"/>
          </w:tcPr>
          <w:p>
            <w:pPr>
              <w:spacing w:after="0" w:line="170" w:lineRule="exact"/>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96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852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26035</wp:posOffset>
            </wp:positionV>
            <wp:extent cx="58661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74" w:lineRule="exact"/>
        <w:rPr>
          <w:sz w:val="20"/>
          <w:szCs w:val="20"/>
          <w:color w:val="auto"/>
        </w:rPr>
      </w:pPr>
    </w:p>
    <w:p>
      <w:pPr>
        <w:ind w:left="2980" w:hanging="705"/>
        <w:spacing w:after="0"/>
        <w:tabs>
          <w:tab w:leader="none" w:pos="2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980"/>
        <w:spacing w:after="0"/>
        <w:rPr>
          <w:rFonts w:ascii="Arial" w:cs="Arial" w:eastAsia="Arial" w:hAnsi="Arial"/>
          <w:sz w:val="18"/>
          <w:szCs w:val="18"/>
          <w:color w:val="auto"/>
        </w:rPr>
      </w:pPr>
      <w:r>
        <w:rPr>
          <w:rFonts w:ascii="Arial" w:cs="Arial" w:eastAsia="Arial" w:hAnsi="Arial"/>
          <w:sz w:val="18"/>
          <w:szCs w:val="18"/>
          <w:b w:val="1"/>
          <w:bCs w:val="1"/>
          <w:color w:val="auto"/>
        </w:rPr>
        <w:t>10,436,506</w:t>
      </w:r>
    </w:p>
    <w:p>
      <w:pPr>
        <w:spacing w:after="0" w:line="102" w:lineRule="exact"/>
        <w:rPr>
          <w:rFonts w:ascii="Arial" w:cs="Arial" w:eastAsia="Arial" w:hAnsi="Arial"/>
          <w:sz w:val="18"/>
          <w:szCs w:val="18"/>
          <w:color w:val="auto"/>
        </w:rPr>
      </w:pPr>
    </w:p>
    <w:p>
      <w:pPr>
        <w:ind w:left="1360" w:hanging="973"/>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10,436,506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-436245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8" w:lineRule="exact"/>
        <w:rPr>
          <w:sz w:val="20"/>
          <w:szCs w:val="20"/>
          <w:color w:val="auto"/>
        </w:rPr>
      </w:pPr>
    </w:p>
    <w:p>
      <w:pPr>
        <w:ind w:left="380"/>
        <w:spacing w:after="0" w:line="207" w:lineRule="exact"/>
        <w:tabs>
          <w:tab w:leader="none" w:pos="1340" w:val="left"/>
          <w:tab w:leader="none" w:pos="6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198755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6" w:lineRule="exact"/>
        <w:rPr>
          <w:sz w:val="20"/>
          <w:szCs w:val="20"/>
          <w:color w:val="auto"/>
        </w:rPr>
      </w:pPr>
    </w:p>
    <w:p>
      <w:pPr>
        <w:ind w:left="1360" w:hanging="976"/>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360" w:hanging="95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607" w:right="239" w:bottom="1440" w:gutter="0" w:footer="0" w:header="0"/>
        </w:sectPr>
      </w:pPr>
    </w:p>
    <w:bookmarkStart w:id="2" w:name="page3"/>
    <w:bookmarkEnd w:id="2"/>
    <w:p>
      <w:pPr>
        <w:spacing w:after="0"/>
        <w:tabs>
          <w:tab w:leader="none" w:pos="5180" w:val="left"/>
          <w:tab w:leader="none" w:pos="61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00202J203</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6"/>
          <w:szCs w:val="16"/>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4" w:lineRule="exact"/>
        <w:rPr>
          <w:sz w:val="20"/>
          <w:szCs w:val="20"/>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Tang Capital Management, LLC</w:t>
      </w:r>
    </w:p>
    <w:p>
      <w:pPr>
        <w:spacing w:after="0" w:line="121" w:lineRule="exact"/>
        <w:rPr>
          <w:rFonts w:ascii="Arial" w:cs="Arial" w:eastAsia="Arial" w:hAnsi="Arial"/>
          <w:sz w:val="18"/>
          <w:szCs w:val="18"/>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840" w:hanging="243"/>
        <w:spacing w:after="0" w:line="207" w:lineRule="exact"/>
        <w:tabs>
          <w:tab w:leader="none" w:pos="184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263"/>
        <w:spacing w:after="0" w:line="207" w:lineRule="exact"/>
        <w:tabs>
          <w:tab w:leader="none" w:pos="18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1" w:lineRule="exact"/>
        <w:rPr>
          <w:rFonts w:ascii="Arial" w:cs="Arial" w:eastAsia="Arial" w:hAnsi="Arial"/>
          <w:sz w:val="18"/>
          <w:szCs w:val="18"/>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121" w:lineRule="exact"/>
        <w:rPr>
          <w:rFonts w:ascii="Arial" w:cs="Arial" w:eastAsia="Arial" w:hAnsi="Arial"/>
          <w:sz w:val="18"/>
          <w:szCs w:val="18"/>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 Is Required Pursuant to Items 2(d) or 2(e)</w:t>
      </w:r>
    </w:p>
    <w:p>
      <w:pPr>
        <w:spacing w:after="0" w:line="18" w:lineRule="exact"/>
        <w:rPr>
          <w:rFonts w:ascii="Arial" w:cs="Arial" w:eastAsia="Arial" w:hAnsi="Arial"/>
          <w:sz w:val="18"/>
          <w:szCs w:val="18"/>
          <w:color w:val="auto"/>
        </w:rPr>
      </w:pPr>
    </w:p>
    <w:p>
      <w:pPr>
        <w:ind w:left="1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4" w:lineRule="exact"/>
        <w:rPr>
          <w:rFonts w:ascii="Arial" w:cs="Arial" w:eastAsia="Arial" w:hAnsi="Arial"/>
          <w:sz w:val="18"/>
          <w:szCs w:val="18"/>
          <w:color w:val="auto"/>
        </w:rPr>
      </w:pPr>
    </w:p>
    <w:p>
      <w:pPr>
        <w:ind w:left="1120" w:hanging="81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-1811020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-1330960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-988060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-507365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-164465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76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Arial" w:cs="Arial" w:eastAsia="Arial" w:hAnsi="Arial"/>
                <w:sz w:val="18"/>
                <w:szCs w:val="18"/>
                <w:color w:val="auto"/>
              </w:rPr>
              <w:t>Shares Beneficially</w:t>
            </w:r>
          </w:p>
        </w:tc>
        <w:tc>
          <w:tcPr>
            <w:tcW w:w="720" w:type="dxa"/>
            <w:vAlign w:val="bottom"/>
          </w:tcPr>
          <w:p>
            <w:pPr>
              <w:spacing w:after="0"/>
              <w:rPr>
                <w:sz w:val="19"/>
                <w:szCs w:val="19"/>
                <w:color w:val="auto"/>
              </w:rPr>
            </w:pPr>
          </w:p>
        </w:tc>
        <w:tc>
          <w:tcPr>
            <w:tcW w:w="8760" w:type="dxa"/>
            <w:vAlign w:val="bottom"/>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2"/>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720" w:type="dxa"/>
            <w:vAlign w:val="bottom"/>
            <w:tcBorders>
              <w:bottom w:val="single" w:sz="8" w:color="auto"/>
            </w:tcBorders>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720" w:type="dxa"/>
            <w:vAlign w:val="bottom"/>
            <w:vMerge w:val="continue"/>
          </w:tcPr>
          <w:p>
            <w:pPr>
              <w:spacing w:after="0"/>
              <w:rPr>
                <w:sz w:val="11"/>
                <w:szCs w:val="11"/>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720" w:type="dxa"/>
            <w:vAlign w:val="bottom"/>
            <w:vMerge w:val="continue"/>
          </w:tcPr>
          <w:p>
            <w:pPr>
              <w:spacing w:after="0"/>
              <w:rPr>
                <w:sz w:val="9"/>
                <w:szCs w:val="9"/>
                <w:color w:val="auto"/>
              </w:rPr>
            </w:pP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10,436,506</w:t>
            </w:r>
          </w:p>
        </w:tc>
        <w:tc>
          <w:tcPr>
            <w:tcW w:w="0" w:type="dxa"/>
            <w:vAlign w:val="bottom"/>
          </w:tcPr>
          <w:p>
            <w:pPr>
              <w:spacing w:after="0"/>
              <w:rPr>
                <w:sz w:val="1"/>
                <w:szCs w:val="1"/>
                <w:color w:val="auto"/>
              </w:rPr>
            </w:pPr>
          </w:p>
        </w:tc>
      </w:tr>
      <w:tr>
        <w:trPr>
          <w:trHeight w:val="122"/>
        </w:trPr>
        <w:tc>
          <w:tcPr>
            <w:tcW w:w="1720" w:type="dxa"/>
            <w:vAlign w:val="bottom"/>
            <w:vMerge w:val="restart"/>
          </w:tcPr>
          <w:p>
            <w:pPr>
              <w:spacing w:after="0" w:line="170" w:lineRule="exact"/>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72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876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60" w:type="dxa"/>
            <w:vAlign w:val="bottom"/>
          </w:tcPr>
          <w:p>
            <w:pPr>
              <w:ind w:left="2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26035</wp:posOffset>
            </wp:positionV>
            <wp:extent cx="60204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0435" cy="17145"/>
                    </a:xfrm>
                    <a:prstGeom prst="rect">
                      <a:avLst/>
                    </a:prstGeom>
                    <a:noFill/>
                  </pic:spPr>
                </pic:pic>
              </a:graphicData>
            </a:graphic>
          </wp:anchor>
        </w:drawing>
      </w:r>
    </w:p>
    <w:p>
      <w:pPr>
        <w:spacing w:after="0" w:line="74" w:lineRule="exact"/>
        <w:rPr>
          <w:sz w:val="20"/>
          <w:szCs w:val="20"/>
          <w:color w:val="auto"/>
        </w:rPr>
      </w:pPr>
    </w:p>
    <w:p>
      <w:pPr>
        <w:ind w:left="2740" w:hanging="702"/>
        <w:spacing w:after="0"/>
        <w:tabs>
          <w:tab w:leader="none" w:pos="2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b w:val="1"/>
          <w:bCs w:val="1"/>
          <w:color w:val="auto"/>
        </w:rPr>
        <w:t>10,436,506</w:t>
      </w:r>
    </w:p>
    <w:p>
      <w:pPr>
        <w:spacing w:after="0" w:line="102" w:lineRule="exact"/>
        <w:rPr>
          <w:rFonts w:ascii="Arial" w:cs="Arial" w:eastAsia="Arial" w:hAnsi="Arial"/>
          <w:sz w:val="18"/>
          <w:szCs w:val="18"/>
          <w:color w:val="auto"/>
        </w:rPr>
      </w:pPr>
    </w:p>
    <w:p>
      <w:pPr>
        <w:ind w:left="1120" w:hanging="861"/>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10,436,506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-436245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8" w:lineRule="exact"/>
        <w:rPr>
          <w:sz w:val="20"/>
          <w:szCs w:val="20"/>
          <w:color w:val="auto"/>
        </w:rPr>
      </w:pPr>
    </w:p>
    <w:p>
      <w:pPr>
        <w:ind w:left="260"/>
        <w:spacing w:after="0" w:line="207" w:lineRule="exact"/>
        <w:tabs>
          <w:tab w:leader="none" w:pos="1100" w:val="left"/>
          <w:tab w:leader="none" w:pos="6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198755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6" w:lineRule="exact"/>
        <w:rPr>
          <w:sz w:val="20"/>
          <w:szCs w:val="20"/>
          <w:color w:val="auto"/>
        </w:rPr>
      </w:pPr>
    </w:p>
    <w:p>
      <w:pPr>
        <w:ind w:left="1120" w:hanging="8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0" w:hanging="842"/>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607" w:right="239" w:bottom="1440" w:gutter="0" w:footer="0" w:header="0"/>
        </w:sectPr>
      </w:pPr>
    </w:p>
    <w:bookmarkStart w:id="3" w:name="page4"/>
    <w:bookmarkEnd w:id="3"/>
    <w:p>
      <w:pPr>
        <w:spacing w:after="0"/>
        <w:tabs>
          <w:tab w:leader="none" w:pos="5260" w:val="left"/>
          <w:tab w:leader="none" w:pos="62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00202J203</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5"/>
          <w:szCs w:val="15"/>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4" w:lineRule="exact"/>
        <w:rPr>
          <w:sz w:val="20"/>
          <w:szCs w:val="20"/>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Kevin C. Tang</w:t>
      </w:r>
    </w:p>
    <w:p>
      <w:pPr>
        <w:spacing w:after="0" w:line="121" w:lineRule="exact"/>
        <w:rPr>
          <w:rFonts w:ascii="Arial" w:cs="Arial" w:eastAsia="Arial" w:hAnsi="Arial"/>
          <w:sz w:val="18"/>
          <w:szCs w:val="18"/>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840" w:hanging="243"/>
        <w:spacing w:after="0" w:line="207" w:lineRule="exact"/>
        <w:tabs>
          <w:tab w:leader="none" w:pos="184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263"/>
        <w:spacing w:after="0" w:line="207" w:lineRule="exact"/>
        <w:tabs>
          <w:tab w:leader="none" w:pos="18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1" w:lineRule="exact"/>
        <w:rPr>
          <w:rFonts w:ascii="Arial" w:cs="Arial" w:eastAsia="Arial" w:hAnsi="Arial"/>
          <w:sz w:val="18"/>
          <w:szCs w:val="18"/>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PF, WC, OO</w:t>
      </w:r>
    </w:p>
    <w:p>
      <w:pPr>
        <w:spacing w:after="0" w:line="121" w:lineRule="exact"/>
        <w:rPr>
          <w:rFonts w:ascii="Arial" w:cs="Arial" w:eastAsia="Arial" w:hAnsi="Arial"/>
          <w:sz w:val="18"/>
          <w:szCs w:val="18"/>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 Is Required Pursuant to Items 2(d) or 2(e)</w:t>
      </w:r>
    </w:p>
    <w:p>
      <w:pPr>
        <w:spacing w:after="0" w:line="18" w:lineRule="exact"/>
        <w:rPr>
          <w:rFonts w:ascii="Arial" w:cs="Arial" w:eastAsia="Arial" w:hAnsi="Arial"/>
          <w:sz w:val="18"/>
          <w:szCs w:val="18"/>
          <w:color w:val="auto"/>
        </w:rPr>
      </w:pPr>
    </w:p>
    <w:p>
      <w:pPr>
        <w:ind w:left="1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4" w:lineRule="exact"/>
        <w:rPr>
          <w:rFonts w:ascii="Arial" w:cs="Arial" w:eastAsia="Arial" w:hAnsi="Arial"/>
          <w:sz w:val="18"/>
          <w:szCs w:val="18"/>
          <w:color w:val="auto"/>
        </w:rPr>
      </w:pPr>
    </w:p>
    <w:p>
      <w:pPr>
        <w:ind w:left="1120" w:hanging="81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-1811020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-1330960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-988060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-507365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-164465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76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Arial" w:cs="Arial" w:eastAsia="Arial" w:hAnsi="Arial"/>
                <w:sz w:val="18"/>
                <w:szCs w:val="18"/>
                <w:color w:val="auto"/>
              </w:rPr>
              <w:t>Shares Beneficially</w:t>
            </w:r>
          </w:p>
        </w:tc>
        <w:tc>
          <w:tcPr>
            <w:tcW w:w="720" w:type="dxa"/>
            <w:vAlign w:val="bottom"/>
          </w:tcPr>
          <w:p>
            <w:pPr>
              <w:spacing w:after="0"/>
              <w:rPr>
                <w:sz w:val="19"/>
                <w:szCs w:val="19"/>
                <w:color w:val="auto"/>
              </w:rPr>
            </w:pPr>
          </w:p>
        </w:tc>
        <w:tc>
          <w:tcPr>
            <w:tcW w:w="8760" w:type="dxa"/>
            <w:vAlign w:val="bottom"/>
          </w:tcPr>
          <w:p>
            <w:pPr>
              <w:ind w:left="260"/>
              <w:spacing w:after="0"/>
              <w:rPr>
                <w:sz w:val="20"/>
                <w:szCs w:val="20"/>
                <w:color w:val="auto"/>
              </w:rPr>
            </w:pPr>
            <w:r>
              <w:rPr>
                <w:rFonts w:ascii="Arial" w:cs="Arial" w:eastAsia="Arial" w:hAnsi="Arial"/>
                <w:sz w:val="18"/>
                <w:szCs w:val="18"/>
                <w:b w:val="1"/>
                <w:bCs w:val="1"/>
                <w:color w:val="auto"/>
              </w:rPr>
              <w:t>311,141</w:t>
            </w:r>
          </w:p>
        </w:tc>
        <w:tc>
          <w:tcPr>
            <w:tcW w:w="0" w:type="dxa"/>
            <w:vAlign w:val="bottom"/>
          </w:tcPr>
          <w:p>
            <w:pPr>
              <w:spacing w:after="0"/>
              <w:rPr>
                <w:sz w:val="1"/>
                <w:szCs w:val="1"/>
                <w:color w:val="auto"/>
              </w:rPr>
            </w:pPr>
          </w:p>
        </w:tc>
      </w:tr>
      <w:tr>
        <w:trPr>
          <w:trHeight w:val="62"/>
        </w:trPr>
        <w:tc>
          <w:tcPr>
            <w:tcW w:w="17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720" w:type="dxa"/>
            <w:vAlign w:val="bottom"/>
            <w:tcBorders>
              <w:bottom w:val="single" w:sz="8" w:color="auto"/>
            </w:tcBorders>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720" w:type="dxa"/>
            <w:vAlign w:val="bottom"/>
            <w:vMerge w:val="continue"/>
          </w:tcPr>
          <w:p>
            <w:pPr>
              <w:spacing w:after="0"/>
              <w:rPr>
                <w:sz w:val="11"/>
                <w:szCs w:val="11"/>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720" w:type="dxa"/>
            <w:vAlign w:val="bottom"/>
            <w:vMerge w:val="continue"/>
          </w:tcPr>
          <w:p>
            <w:pPr>
              <w:spacing w:after="0"/>
              <w:rPr>
                <w:sz w:val="9"/>
                <w:szCs w:val="9"/>
                <w:color w:val="auto"/>
              </w:rPr>
            </w:pP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10,844,834</w:t>
            </w:r>
          </w:p>
        </w:tc>
        <w:tc>
          <w:tcPr>
            <w:tcW w:w="0" w:type="dxa"/>
            <w:vAlign w:val="bottom"/>
          </w:tcPr>
          <w:p>
            <w:pPr>
              <w:spacing w:after="0"/>
              <w:rPr>
                <w:sz w:val="1"/>
                <w:szCs w:val="1"/>
                <w:color w:val="auto"/>
              </w:rPr>
            </w:pPr>
          </w:p>
        </w:tc>
      </w:tr>
      <w:tr>
        <w:trPr>
          <w:trHeight w:val="122"/>
        </w:trPr>
        <w:tc>
          <w:tcPr>
            <w:tcW w:w="1720" w:type="dxa"/>
            <w:vAlign w:val="bottom"/>
            <w:vMerge w:val="restart"/>
          </w:tcPr>
          <w:p>
            <w:pPr>
              <w:spacing w:after="0" w:line="170" w:lineRule="exact"/>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72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876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60" w:type="dxa"/>
            <w:vAlign w:val="bottom"/>
          </w:tcPr>
          <w:p>
            <w:pPr>
              <w:ind w:left="260"/>
              <w:spacing w:after="0"/>
              <w:rPr>
                <w:sz w:val="20"/>
                <w:szCs w:val="20"/>
                <w:color w:val="auto"/>
              </w:rPr>
            </w:pPr>
            <w:r>
              <w:rPr>
                <w:rFonts w:ascii="Arial" w:cs="Arial" w:eastAsia="Arial" w:hAnsi="Arial"/>
                <w:sz w:val="18"/>
                <w:szCs w:val="18"/>
                <w:b w:val="1"/>
                <w:bCs w:val="1"/>
                <w:color w:val="auto"/>
              </w:rPr>
              <w:t>311,141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26035</wp:posOffset>
            </wp:positionV>
            <wp:extent cx="6020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0435" cy="17145"/>
                    </a:xfrm>
                    <a:prstGeom prst="rect">
                      <a:avLst/>
                    </a:prstGeom>
                    <a:noFill/>
                  </pic:spPr>
                </pic:pic>
              </a:graphicData>
            </a:graphic>
          </wp:anchor>
        </w:drawing>
      </w:r>
    </w:p>
    <w:p>
      <w:pPr>
        <w:spacing w:after="0" w:line="74" w:lineRule="exact"/>
        <w:rPr>
          <w:sz w:val="20"/>
          <w:szCs w:val="20"/>
          <w:color w:val="auto"/>
        </w:rPr>
      </w:pPr>
    </w:p>
    <w:p>
      <w:pPr>
        <w:ind w:left="2740" w:hanging="702"/>
        <w:spacing w:after="0"/>
        <w:tabs>
          <w:tab w:leader="none" w:pos="2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b w:val="1"/>
          <w:bCs w:val="1"/>
          <w:color w:val="auto"/>
        </w:rPr>
        <w:t>11,009,718</w:t>
      </w:r>
    </w:p>
    <w:p>
      <w:pPr>
        <w:spacing w:after="0" w:line="102" w:lineRule="exact"/>
        <w:rPr>
          <w:rFonts w:ascii="Arial" w:cs="Arial" w:eastAsia="Arial" w:hAnsi="Arial"/>
          <w:sz w:val="18"/>
          <w:szCs w:val="18"/>
          <w:color w:val="auto"/>
        </w:rPr>
      </w:pPr>
    </w:p>
    <w:p>
      <w:pPr>
        <w:ind w:left="1120" w:hanging="861"/>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11,320,859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-436245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8" w:lineRule="exact"/>
        <w:rPr>
          <w:sz w:val="20"/>
          <w:szCs w:val="20"/>
          <w:color w:val="auto"/>
        </w:rPr>
      </w:pPr>
    </w:p>
    <w:p>
      <w:pPr>
        <w:ind w:left="260"/>
        <w:spacing w:after="0" w:line="207" w:lineRule="exact"/>
        <w:tabs>
          <w:tab w:leader="none" w:pos="1100" w:val="left"/>
          <w:tab w:leader="none" w:pos="6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198755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6" w:lineRule="exact"/>
        <w:rPr>
          <w:sz w:val="20"/>
          <w:szCs w:val="20"/>
          <w:color w:val="auto"/>
        </w:rPr>
      </w:pPr>
    </w:p>
    <w:p>
      <w:pPr>
        <w:ind w:left="1120" w:hanging="864"/>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43180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0" w:hanging="842"/>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607" w:right="239" w:bottom="1440" w:gutter="0" w:footer="0" w:header="0"/>
        </w:sectPr>
      </w:pPr>
    </w:p>
    <w:bookmarkStart w:id="4" w:name="page5"/>
    <w:bookmarkEnd w:id="4"/>
    <w:p>
      <w:pPr>
        <w:jc w:val="both"/>
        <w:spacing w:after="0" w:line="298" w:lineRule="auto"/>
        <w:rPr>
          <w:sz w:val="20"/>
          <w:szCs w:val="20"/>
          <w:color w:val="auto"/>
        </w:rPr>
      </w:pPr>
      <w:r>
        <w:rPr>
          <w:rFonts w:ascii="Arial" w:cs="Arial" w:eastAsia="Arial" w:hAnsi="Arial"/>
          <w:sz w:val="16"/>
          <w:szCs w:val="16"/>
          <w:b w:val="1"/>
          <w:bCs w:val="1"/>
          <w:color w:val="auto"/>
        </w:rPr>
        <w:t>Explanatory Note</w:t>
      </w:r>
      <w:r>
        <w:rPr>
          <w:rFonts w:ascii="Arial" w:cs="Arial" w:eastAsia="Arial" w:hAnsi="Arial"/>
          <w:sz w:val="16"/>
          <w:szCs w:val="16"/>
          <w:color w:val="auto"/>
        </w:rPr>
        <w:t>: This Amendment No. 6 relates to and amends the Statement of Beneficial Ownership on Schedule 13D/A of Tang Capital Partners, LP,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partnership, Tang Capital Management, LLC, a Delaware limited liability company, and Kevin C. Tang, a United States citizen (each, a “Reporting Person” and collectively, the “Reporting Persons”), initially filed jointly by the Reporting Persons with the Securities and Exchange Commission on October 14, 2008 and amended on November 10, 2008, November 24, 2008, December 29, 2008, February 18, 2009 and October 19, 2009 (the “Statement”), with respect to the Common Stock, $0.01 par value (the “Common Stock”), of A.P. Pharma, Inc., a Delaware corporation (the “Issuer”).&lt; /font&gt;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Items 3 and 5 of the Statement are hereby amended to the extent hereinafter expressly set forth. All capitalized terms used and not expressly defined herein have the respective meanings ascribed to such terms in the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of the Statement is hereby amended to add the following:</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Since the date of the last filing on Schedule 13D/A, the right to purchase 1,586,481 shares of the Issuer’s Common Stock at an exercise price of $0.968 per share, acquired on October 19, 2009 by the Reporting Persons, in a private placement, expired without having been exercised on May 14, 2010.</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Since the date of the last filing on Schedule 13D/A, Kevin C. Tang was granted 95,891 shares of Restricted Stock, on May 20, 2010, for serving as a Director of the Company. Vesting of such shares will occur in equal increments, one-half to vest in six months from the date of grant and the balance to vest on the day prior to the Issuer’s next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the Statement is hereby amended and restated in its entirety as follows:</w:t>
      </w:r>
    </w:p>
    <w:p>
      <w:pPr>
        <w:spacing w:after="0" w:line="225"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 and percentage of class:</w:t>
      </w:r>
    </w:p>
    <w:p>
      <w:pPr>
        <w:sectPr>
          <w:pgSz w:w="11900" w:h="16838" w:orient="portrait"/>
          <w:cols w:equalWidth="0" w:num="1">
            <w:col w:w="11420"/>
          </w:cols>
          <w:pgMar w:left="240" w:top="607" w:right="239" w:bottom="1440" w:gutter="0" w:footer="0" w:header="0"/>
        </w:sectPr>
      </w:pPr>
    </w:p>
    <w:p>
      <w:pPr>
        <w:spacing w:after="0" w:line="221" w:lineRule="exact"/>
        <w:rPr>
          <w:sz w:val="20"/>
          <w:szCs w:val="20"/>
          <w:color w:val="auto"/>
        </w:rPr>
      </w:pPr>
    </w:p>
    <w:p>
      <w:pPr>
        <w:ind w:left="760"/>
        <w:spacing w:after="0" w:line="266" w:lineRule="auto"/>
        <w:rPr>
          <w:sz w:val="20"/>
          <w:szCs w:val="20"/>
          <w:color w:val="auto"/>
        </w:rPr>
      </w:pPr>
      <w:r>
        <w:rPr>
          <w:rFonts w:ascii="Arial" w:cs="Arial" w:eastAsia="Arial" w:hAnsi="Arial"/>
          <w:sz w:val="18"/>
          <w:szCs w:val="18"/>
          <w:b w:val="1"/>
          <w:bCs w:val="1"/>
          <w:color w:val="auto"/>
        </w:rPr>
        <w:t>Tang Capital Partners, LP Tang Capital Management, LLC Kevin C. Tang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10,436,506 shares, representing 26.4% of the class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10,436,506 shares, representing 26.4% of the class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11,320,859 shares, representing 28.6% of the class</w:t>
      </w:r>
    </w:p>
    <w:p>
      <w:pPr>
        <w:spacing w:after="0" w:line="245" w:lineRule="exact"/>
        <w:rPr>
          <w:sz w:val="20"/>
          <w:szCs w:val="20"/>
          <w:color w:val="auto"/>
        </w:rPr>
      </w:pPr>
    </w:p>
    <w:p>
      <w:pPr>
        <w:sectPr>
          <w:pgSz w:w="11900" w:h="16838" w:orient="portrait"/>
          <w:cols w:equalWidth="0" w:num="2">
            <w:col w:w="3260" w:space="320"/>
            <w:col w:w="7840"/>
          </w:cols>
          <w:pgMar w:left="240" w:top="607" w:right="23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Tang Capital Partners, LP is the beneficial owner of 10,436,506 shares of the Issuer’s Common Stock. Additionally, Tang Capital Partners, LP has the right, subject to certain limitations discussed below, to acquire 1,221,590 shares of the Issuer’s Common Stock upon exercise of the Warrant it owns.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5" w:name="page6"/>
    <w:bookmarkEnd w:id="5"/>
    <w:p>
      <w:pPr>
        <w:ind w:right="40" w:firstLine="648"/>
        <w:spacing w:after="0" w:line="255" w:lineRule="auto"/>
        <w:rPr>
          <w:sz w:val="20"/>
          <w:szCs w:val="20"/>
          <w:color w:val="auto"/>
        </w:rPr>
      </w:pPr>
      <w:r>
        <w:rPr>
          <w:rFonts w:ascii="Arial" w:cs="Arial" w:eastAsia="Arial" w:hAnsi="Arial"/>
          <w:sz w:val="18"/>
          <w:szCs w:val="18"/>
          <w:color w:val="auto"/>
        </w:rPr>
        <w:t>The above Warrant provides that in no event shall the Warrant be exercisable to the extent that the issuance of Common Stock upon exercise thereof, after taking into account the Common Stock then owned by Tang Capital Partners, LP and its affiliates, would result in the beneficial ownership by Tang Capital Partners, LP and its affiliates of more than 9.999% of the outstanding Common Stock (“Limitation on Exercise”). The Limitation on Exercise remains in effect with respect to such warrant and no shares are currently issuable upon exercise of such warrant. Neither the filing of this Schedule 13D/A nor any of its contents shall be deemed to constitute an admission by Tang Capital Partners, LP or any other person that is the beneficial owner of any of the Common Stock underlying such warrant for purposes of Section 13(d) of the Securities Exchange Act of 1934, as amended, or for any other purpose, and as such beneficial ownership is expressly disclaimed.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Tang Capital Management, LLC, as the general partner of Tang Capital Partners, LP, may be deemed to beneficially own the 10,436,506 shares held by Tang Capital Partners, LP. Tang Capital Management, LLC shares voting and dispositive power over such shares with Tang Capital Partners, LP and Kevin C. Tang.</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Kevin C. Tang is the beneficial owner of 11,320,859 shares of the Issuer’s Common Stock, comprising 62,600 shares owned by Justin L. Tang under the Uniform Transfers to Minors Act (“UTMA”), for which Kevin C. Tang serves as trustee, 53,700 shares owned by Julian K. Tang under the UTMA, for which Kevin C. Tang serves as trustee, 15,200 shares owned by Noa Y. Tang under the UTMA, for which Kevin C. Tang serves as trustee, 40,800 shares owned by the Tang Advisors, LLC Profit Sharing Plan, for which Kevin C. Tang serves as trustee and is a participant, 114,650 shares held by the Tang Family Trust, for which Kevin C. Tang serves as co-trustee, 42,950 shares held by Kevin C. Tang’s Individual Retirement Account, 95,891 shares issuable upon vesting of Restricted Stock held by Kevin C. Tang, 34,637 shares owned by the Individual Retirement Account for the benefit of Chang L. Kong (the “Chang IRA”), 34,241 shares owned by the Individual Retirement Account for the benefit of Chung W. Kong (the </w:t>
      </w:r>
      <w:r>
        <w:rPr>
          <w:rFonts w:ascii="Arial" w:cs="Arial" w:eastAsia="Arial" w:hAnsi="Arial"/>
          <w:sz w:val="16"/>
          <w:szCs w:val="16"/>
          <w:i w:val="1"/>
          <w:iCs w:val="1"/>
          <w:color w:val="auto"/>
        </w:rPr>
        <w:t>“</w:t>
      </w:r>
      <w:r>
        <w:rPr>
          <w:rFonts w:ascii="Arial" w:cs="Arial" w:eastAsia="Arial" w:hAnsi="Arial"/>
          <w:sz w:val="16"/>
          <w:szCs w:val="16"/>
          <w:color w:val="auto"/>
        </w:rPr>
        <w:t>Chung IRA”), 96,006 shares owned by Joan M. Lamb, 293,678 shares owned by the Haeyoung and Kevin Tang Foundation, Inc., and 10,436,506 shares held by Tang Capital Partners, LP.</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Justin L. Tang, Julian K. Tang and Noa Y. Tang are Kevin C. Tang’s children. Kevin C. Tang is a beneficiary of the Tang Family Trust and shares voting and dispositive power over the shares held by the Tang Family Trust with his wife, Haeyoung K. Tang. Chang L. and Chung W. Kong are Kevin C. Tang’s in-laws and Mr. Tang may be deemed to have shared dispositive power over the shares held in the Chang IRA and the Chung IRA. Joan M. Lamb is an acquaintance of Kevin C. Tang and Mr. Tang may be deemed to have shared dispositive power over the shares held by Ms. Lamb. The Haeyoung and Kevin Tang Foundation, Inc. is a private foundation, for which Kevin C. Tang serves as President and Treasurer. Mr. Tang shares voting and dispositive power over the shares held by this foundation with Haey oung K. Tang. Tang Capital Management, LLC, as the general partner of Tang Capital Partners, LP, and Kevin C. Tang, as the manager of Tang Capital Management, LLC, may also be deemed to beneficially own the shares beneficially owned by Tang Capital Partners, LP. Chang L. and Chung W. Kong are retired U.S. citizens. Ms. Lamb is a U.S. citizen and is self-employed in the design industry. The Haeyoung and Kevin Tang Foundation, Inc. is a not-for-profit corporation incorporated in the state of Delaware. The mailing address of all of the foregoing persons and entities is c/o Tang Capital Management, LLC, 4401 Eastgate Mall, San Diego, CA 92121. Kevin C. Tang disclaims beneficial ownership of all shares reported herein except to the extent of his pecuniary interest therein.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7"/>
          <w:szCs w:val="17"/>
          <w:color w:val="auto"/>
        </w:rPr>
        <w:t>The percentages used herein are based upon 39,609,188 shares of Common Stock outstanding as of April 30, 2010 (39,513,297 shares outstanding as of April 30, 2010, as reported by the Issuer on their Quarterly Report on Form 10-Q, as filed with the Securities and Exchange Commission on May 17, 2010, plus, in the case of Kevin C. Tang, an additional 95,891 shares issuable upon vesting of the Restricted Stock).</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Voting and disposition powers:</w:t>
            </w:r>
          </w:p>
        </w:tc>
        <w:tc>
          <w:tcPr>
            <w:tcW w:w="27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Sole power to vote or direct the vote:</w:t>
            </w:r>
          </w:p>
        </w:tc>
        <w:tc>
          <w:tcPr>
            <w:tcW w:w="27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Tang Capital Partners, LP</w:t>
            </w:r>
          </w:p>
        </w:tc>
        <w:tc>
          <w:tcPr>
            <w:tcW w:w="2700" w:type="dxa"/>
            <w:vAlign w:val="bottom"/>
          </w:tcPr>
          <w:p>
            <w:pPr>
              <w:ind w:left="1400"/>
              <w:spacing w:after="0"/>
              <w:rPr>
                <w:sz w:val="20"/>
                <w:szCs w:val="20"/>
                <w:color w:val="auto"/>
              </w:rPr>
            </w:pPr>
            <w:r>
              <w:rPr>
                <w:rFonts w:ascii="Arial" w:cs="Arial" w:eastAsia="Arial" w:hAnsi="Arial"/>
                <w:sz w:val="18"/>
                <w:szCs w:val="18"/>
                <w:color w:val="auto"/>
              </w:rPr>
              <w:t>0 shares</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c>
          <w:tcPr>
            <w:tcW w:w="2700" w:type="dxa"/>
            <w:vAlign w:val="bottom"/>
          </w:tcPr>
          <w:p>
            <w:pPr>
              <w:ind w:left="1400"/>
              <w:spacing w:after="0"/>
              <w:rPr>
                <w:sz w:val="20"/>
                <w:szCs w:val="20"/>
                <w:color w:val="auto"/>
              </w:rPr>
            </w:pPr>
            <w:r>
              <w:rPr>
                <w:rFonts w:ascii="Arial" w:cs="Arial" w:eastAsia="Arial" w:hAnsi="Arial"/>
                <w:sz w:val="18"/>
                <w:szCs w:val="18"/>
                <w:color w:val="auto"/>
              </w:rPr>
              <w:t>0 shares</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Kevin C. Tang</w:t>
            </w:r>
          </w:p>
        </w:tc>
        <w:tc>
          <w:tcPr>
            <w:tcW w:w="2700" w:type="dxa"/>
            <w:vAlign w:val="bottom"/>
          </w:tcPr>
          <w:p>
            <w:pPr>
              <w:ind w:left="1400"/>
              <w:spacing w:after="0"/>
              <w:rPr>
                <w:sz w:val="20"/>
                <w:szCs w:val="20"/>
                <w:color w:val="auto"/>
              </w:rPr>
            </w:pPr>
            <w:r>
              <w:rPr>
                <w:rFonts w:ascii="Arial" w:cs="Arial" w:eastAsia="Arial" w:hAnsi="Arial"/>
                <w:sz w:val="18"/>
                <w:szCs w:val="18"/>
                <w:color w:val="auto"/>
              </w:rPr>
              <w:t>311,141 shares</w:t>
            </w:r>
          </w:p>
        </w:tc>
      </w:tr>
      <w:tr>
        <w:trPr>
          <w:trHeight w:val="432"/>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Shared power to vote or direct the vote:</w:t>
            </w:r>
          </w:p>
        </w:tc>
        <w:tc>
          <w:tcPr>
            <w:tcW w:w="27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Tang Capital Partners, LP</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10,436,506 shares</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10,436,506 shares</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Kevin C. Tang</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10,844,834 shares</w:t>
            </w:r>
          </w:p>
        </w:tc>
      </w:tr>
      <w:tr>
        <w:trPr>
          <w:trHeight w:val="648"/>
        </w:trPr>
        <w:tc>
          <w:tcPr>
            <w:tcW w:w="500" w:type="dxa"/>
            <w:vAlign w:val="bottom"/>
          </w:tcPr>
          <w:p>
            <w:pPr>
              <w:spacing w:after="0"/>
              <w:rPr>
                <w:sz w:val="24"/>
                <w:szCs w:val="24"/>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Sole power to dispose or direct the disposition:</w:t>
            </w:r>
          </w:p>
        </w:tc>
        <w:tc>
          <w:tcPr>
            <w:tcW w:w="27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Tang Capital Partners, LP</w:t>
            </w:r>
          </w:p>
        </w:tc>
        <w:tc>
          <w:tcPr>
            <w:tcW w:w="2700" w:type="dxa"/>
            <w:vAlign w:val="bottom"/>
          </w:tcPr>
          <w:p>
            <w:pPr>
              <w:ind w:left="1400"/>
              <w:spacing w:after="0"/>
              <w:rPr>
                <w:sz w:val="20"/>
                <w:szCs w:val="20"/>
                <w:color w:val="auto"/>
              </w:rPr>
            </w:pPr>
            <w:r>
              <w:rPr>
                <w:rFonts w:ascii="Arial" w:cs="Arial" w:eastAsia="Arial" w:hAnsi="Arial"/>
                <w:sz w:val="18"/>
                <w:szCs w:val="18"/>
                <w:color w:val="auto"/>
              </w:rPr>
              <w:t>0 shares</w:t>
            </w:r>
          </w:p>
        </w:tc>
      </w:tr>
      <w:tr>
        <w:trPr>
          <w:trHeight w:val="216"/>
        </w:trPr>
        <w:tc>
          <w:tcPr>
            <w:tcW w:w="500" w:type="dxa"/>
            <w:vAlign w:val="bottom"/>
          </w:tcPr>
          <w:p>
            <w:pPr>
              <w:spacing w:after="0"/>
              <w:rPr>
                <w:sz w:val="18"/>
                <w:szCs w:val="18"/>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Tang Capital Management, LLC</w:t>
            </w:r>
          </w:p>
        </w:tc>
        <w:tc>
          <w:tcPr>
            <w:tcW w:w="2700" w:type="dxa"/>
            <w:vAlign w:val="bottom"/>
          </w:tcPr>
          <w:p>
            <w:pPr>
              <w:ind w:left="1400"/>
              <w:spacing w:after="0"/>
              <w:rPr>
                <w:sz w:val="20"/>
                <w:szCs w:val="20"/>
                <w:color w:val="auto"/>
              </w:rPr>
            </w:pPr>
            <w:r>
              <w:rPr>
                <w:rFonts w:ascii="Arial" w:cs="Arial" w:eastAsia="Arial" w:hAnsi="Arial"/>
                <w:sz w:val="18"/>
                <w:szCs w:val="18"/>
                <w:color w:val="auto"/>
              </w:rPr>
              <w:t>0 shares</w:t>
            </w:r>
          </w:p>
        </w:tc>
      </w:tr>
      <w:tr>
        <w:trPr>
          <w:trHeight w:val="230"/>
        </w:trPr>
        <w:tc>
          <w:tcPr>
            <w:tcW w:w="500" w:type="dxa"/>
            <w:vAlign w:val="bottom"/>
          </w:tcPr>
          <w:p>
            <w:pPr>
              <w:spacing w:after="0"/>
              <w:rPr>
                <w:sz w:val="20"/>
                <w:szCs w:val="20"/>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Kevin C. Tang</w:t>
            </w:r>
          </w:p>
        </w:tc>
        <w:tc>
          <w:tcPr>
            <w:tcW w:w="2700" w:type="dxa"/>
            <w:vAlign w:val="bottom"/>
          </w:tcPr>
          <w:p>
            <w:pPr>
              <w:ind w:left="1400"/>
              <w:spacing w:after="0"/>
              <w:rPr>
                <w:sz w:val="20"/>
                <w:szCs w:val="20"/>
                <w:color w:val="auto"/>
              </w:rPr>
            </w:pPr>
            <w:r>
              <w:rPr>
                <w:rFonts w:ascii="Arial" w:cs="Arial" w:eastAsia="Arial" w:hAnsi="Arial"/>
                <w:sz w:val="18"/>
                <w:szCs w:val="18"/>
                <w:color w:val="auto"/>
              </w:rPr>
              <w:t>311,141 shares</w:t>
            </w:r>
          </w:p>
        </w:tc>
      </w:tr>
      <w:tr>
        <w:trPr>
          <w:trHeight w:val="432"/>
        </w:trPr>
        <w:tc>
          <w:tcPr>
            <w:tcW w:w="500" w:type="dxa"/>
            <w:vAlign w:val="bottom"/>
          </w:tcPr>
          <w:p>
            <w:pPr>
              <w:spacing w:after="0"/>
              <w:rPr>
                <w:sz w:val="24"/>
                <w:szCs w:val="24"/>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Shared power to dispose or direct the disposition:</w:t>
            </w:r>
          </w:p>
        </w:tc>
        <w:tc>
          <w:tcPr>
            <w:tcW w:w="27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Tang Capital Partners, LP</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10,436,506 shares</w:t>
            </w:r>
          </w:p>
        </w:tc>
      </w:tr>
      <w:tr>
        <w:trPr>
          <w:trHeight w:val="216"/>
        </w:trPr>
        <w:tc>
          <w:tcPr>
            <w:tcW w:w="500" w:type="dxa"/>
            <w:vAlign w:val="bottom"/>
          </w:tcPr>
          <w:p>
            <w:pPr>
              <w:spacing w:after="0"/>
              <w:rPr>
                <w:sz w:val="18"/>
                <w:szCs w:val="18"/>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Tang Capital Management, LLC</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10,436,506 shares</w:t>
            </w:r>
          </w:p>
        </w:tc>
      </w:tr>
      <w:tr>
        <w:trPr>
          <w:trHeight w:val="230"/>
        </w:trPr>
        <w:tc>
          <w:tcPr>
            <w:tcW w:w="500" w:type="dxa"/>
            <w:vAlign w:val="bottom"/>
          </w:tcPr>
          <w:p>
            <w:pPr>
              <w:spacing w:after="0"/>
              <w:rPr>
                <w:sz w:val="20"/>
                <w:szCs w:val="20"/>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color w:val="auto"/>
              </w:rPr>
              <w:t>Kevin C. Tang</w:t>
            </w:r>
          </w:p>
        </w:tc>
        <w:tc>
          <w:tcPr>
            <w:tcW w:w="2700" w:type="dxa"/>
            <w:vAlign w:val="bottom"/>
          </w:tcPr>
          <w:p>
            <w:pPr>
              <w:ind w:left="1400"/>
              <w:spacing w:after="0"/>
              <w:rPr>
                <w:sz w:val="20"/>
                <w:szCs w:val="20"/>
                <w:color w:val="auto"/>
              </w:rPr>
            </w:pPr>
            <w:r>
              <w:rPr>
                <w:rFonts w:ascii="Arial" w:cs="Arial" w:eastAsia="Arial" w:hAnsi="Arial"/>
                <w:sz w:val="18"/>
                <w:szCs w:val="18"/>
                <w:color w:val="auto"/>
                <w:w w:val="85"/>
              </w:rPr>
              <w:t>11,009,718 shares</w:t>
            </w:r>
          </w:p>
        </w:tc>
      </w:tr>
    </w:tbl>
    <w:p>
      <w:pPr>
        <w:spacing w:after="0" w:line="200" w:lineRule="exact"/>
        <w:rPr>
          <w:sz w:val="20"/>
          <w:szCs w:val="20"/>
          <w:color w:val="auto"/>
        </w:rPr>
      </w:pPr>
    </w:p>
    <w:p>
      <w:pPr>
        <w:spacing w:after="0" w:line="218" w:lineRule="exact"/>
        <w:rPr>
          <w:sz w:val="20"/>
          <w:szCs w:val="20"/>
          <w:color w:val="auto"/>
        </w:rPr>
      </w:pPr>
    </w:p>
    <w:p>
      <w:pPr>
        <w:ind w:firstLine="8"/>
        <w:spacing w:after="0" w:line="277" w:lineRule="auto"/>
        <w:tabs>
          <w:tab w:leader="none" w:pos="7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than the purchases described in Item 3, none of Kevin C. Tang, Tang Capital Partners, LP and Tang Capital Management, LLC have effected any transaction in the Issuer’s common stock within the last 60 days.</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ind w:left="9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following Reporting Persons certifies that the information set forth in this statement is true, complete and correct.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w:t>
      </w:r>
      <w:r>
        <w:rPr>
          <w:rFonts w:ascii="Arial" w:cs="Arial" w:eastAsia="Arial" w:hAnsi="Arial"/>
          <w:sz w:val="18"/>
          <w:szCs w:val="18"/>
          <w:b w:val="1"/>
          <w:bCs w:val="1"/>
          <w:color w:val="auto"/>
        </w:rPr>
        <w:t>, LP</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Tang Capital Management, LLC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C. Tang, Manager</w:t>
      </w: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LLC</w:t>
      </w:r>
    </w:p>
    <w:p>
      <w:pPr>
        <w:spacing w:after="0" w:line="283"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Kevin C.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C. Tang, Manager</w:t>
      </w:r>
    </w:p>
    <w:p>
      <w:pPr>
        <w:spacing w:after="0" w:line="200" w:lineRule="exact"/>
        <w:rPr>
          <w:sz w:val="20"/>
          <w:szCs w:val="20"/>
          <w:color w:val="auto"/>
        </w:rPr>
      </w:pP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C.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0237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1"/>
    </w:lvl>
    <w:lvl w:ilvl="1">
      <w:lvlJc w:val="left"/>
      <w:lvlText w:val="%2."/>
      <w:numFmt w:val="decimal"/>
      <w:start w:val="10"/>
    </w:lvl>
  </w:abstractNum>
  <w:abstractNum w:abstractNumId="3">
    <w:nsid w:val="1F16E9E8"/>
    <w:multiLevelType w:val="hybridMultilevel"/>
    <w:lvl w:ilvl="0">
      <w:lvlJc w:val="left"/>
      <w:lvlText w:val="%1."/>
      <w:numFmt w:val="decimal"/>
      <w:start w:val="11"/>
    </w:lvl>
    <w:lvl w:ilvl="1">
      <w:lvlJc w:val="left"/>
      <w:lvlText w:val="%2"/>
      <w:numFmt w:val="decimal"/>
      <w:start w:val="1"/>
    </w:lvl>
  </w:abstractNum>
  <w:abstractNum w:abstractNumId="4">
    <w:nsid w:val="1190CDE7"/>
    <w:multiLevelType w:val="hybridMultilevel"/>
    <w:lvl w:ilvl="0">
      <w:lvlJc w:val="left"/>
      <w:lvlText w:val="%1."/>
      <w:numFmt w:val="decimal"/>
      <w:start w:val="13"/>
    </w:lvl>
  </w:abstractNum>
  <w:abstractNum w:abstractNumId="5">
    <w:nsid w:val="66EF438D"/>
    <w:multiLevelType w:val="hybridMultilevel"/>
    <w:lvl w:ilvl="0">
      <w:lvlJc w:val="left"/>
      <w:lvlText w:val="%1"/>
      <w:numFmt w:val="decimal"/>
      <w:start w:val="14"/>
    </w:lvl>
  </w:abstractNum>
  <w:abstractNum w:abstractNumId="6">
    <w:nsid w:val="140E0F76"/>
    <w:multiLevelType w:val="hybridMultilevel"/>
    <w:lvl w:ilvl="0">
      <w:lvlJc w:val="left"/>
      <w:lvlText w:val="%1."/>
      <w:numFmt w:val="decimal"/>
      <w:start w:val="1"/>
    </w:lvl>
    <w:lvl w:ilvl="1">
      <w:lvlJc w:val="left"/>
      <w:lvlText w:val="(%2)"/>
      <w:numFmt w:val="lowerLetter"/>
      <w:start w:val="1"/>
    </w:lvl>
  </w:abstractNum>
  <w:abstractNum w:abstractNumId="7">
    <w:nsid w:val="3352255A"/>
    <w:multiLevelType w:val="hybridMultilevel"/>
    <w:lvl w:ilvl="0">
      <w:lvlJc w:val="left"/>
      <w:lvlText w:val="%1"/>
      <w:numFmt w:val="decimal"/>
      <w:start w:val="1"/>
    </w:lvl>
    <w:lvl w:ilvl="1">
      <w:lvlJc w:val="left"/>
      <w:lvlText w:val="%2."/>
      <w:numFmt w:val="decimal"/>
      <w:start w:val="10"/>
    </w:lvl>
  </w:abstractNum>
  <w:abstractNum w:abstractNumId="8">
    <w:nsid w:val="109CF92E"/>
    <w:multiLevelType w:val="hybridMultilevel"/>
    <w:lvl w:ilvl="0">
      <w:lvlJc w:val="left"/>
      <w:lvlText w:val="%1."/>
      <w:numFmt w:val="decimal"/>
      <w:start w:val="11"/>
    </w:lvl>
    <w:lvl w:ilvl="1">
      <w:lvlJc w:val="left"/>
      <w:lvlText w:val="%2"/>
      <w:numFmt w:val="decimal"/>
      <w:start w:val="1"/>
    </w:lvl>
  </w:abstractNum>
  <w:abstractNum w:abstractNumId="9">
    <w:nsid w:val="DED7263"/>
    <w:multiLevelType w:val="hybridMultilevel"/>
    <w:lvl w:ilvl="0">
      <w:lvlJc w:val="left"/>
      <w:lvlText w:val="%1."/>
      <w:numFmt w:val="decimal"/>
      <w:start w:val="13"/>
    </w:lvl>
  </w:abstractNum>
  <w:abstractNum w:abstractNumId="10">
    <w:nsid w:val="7FDCC233"/>
    <w:multiLevelType w:val="hybridMultilevel"/>
    <w:lvl w:ilvl="0">
      <w:lvlJc w:val="left"/>
      <w:lvlText w:val="%1"/>
      <w:numFmt w:val="decimal"/>
      <w:start w:val="14"/>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decimal"/>
      <w:start w:val="10"/>
    </w:lvl>
  </w:abstractNum>
  <w:abstractNum w:abstractNumId="13">
    <w:nsid w:val="6B68079A"/>
    <w:multiLevelType w:val="hybridMultilevel"/>
    <w:lvl w:ilvl="0">
      <w:lvlJc w:val="left"/>
      <w:lvlText w:val="%1."/>
      <w:numFmt w:val="decimal"/>
      <w:start w:val="11"/>
    </w:lvl>
    <w:lvl w:ilvl="1">
      <w:lvlJc w:val="left"/>
      <w:lvlText w:val="%2"/>
      <w:numFmt w:val="decimal"/>
      <w:start w:val="1"/>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1"/>
      <w:numFmt w:val="decimal"/>
      <w:start w:val="14"/>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2019-12-10T07:57:49Z</dcterms:created>
  <dcterms:modified xsi:type="dcterms:W3CDTF">2019-12-10T07:57:49Z</dcterms:modified>
</cp:coreProperties>
</file>