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Hensley Mark Earl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FENTON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HERON THERAPEUTICS,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179,789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8,888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170,901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343,750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with 25% upon the first anniversary of date of grant (May 6, 2025) and then in twelve (12) equal quarterly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/s/Kathryn Lester Attorney-in-fact for Mark E. Hensley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5816" TargetMode="External"/><Relationship Id="rId5" Type="http://schemas.openxmlformats.org/officeDocument/2006/relationships/hyperlink" Target="http://www.sec.gov/cgi-bin/browse-edgar?action=getcompany&amp;CIK=0000818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3431</Characters>
  <CharactersWithSpaces>3979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